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default"/>
              <w:szCs w:val="21"/>
              <w:lang w:val="en-US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25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523"/>
      <w:bookmarkStart w:id="2" w:name="_Toc9944816"/>
      <w:bookmarkStart w:id="3" w:name="_Toc9945096"/>
      <w:bookmarkStart w:id="4" w:name="_Toc9945240"/>
      <w:bookmarkStart w:id="5" w:name="_Toc9945382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鞍山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寒冷A</w:t>
      </w:r>
      <w:bookmarkStart w:id="6" w:name="_GoBack"/>
      <w:bookmarkEnd w:id="6"/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《绿色建筑评价标准》(GB/T50378-2019)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14"/>
              <w:spacing w:line="240" w:lineRule="auto"/>
              <w:ind w:firstLine="0" w:firstLineChars="0"/>
            </w:pPr>
            <w:r>
              <w:rPr>
                <w:rFonts w:hint="eastAsia"/>
                <w:szCs w:val="21"/>
              </w:rPr>
              <w:t>1）暖通竣工图及设计说明、应</w:t>
            </w:r>
            <w:r>
              <w:rPr>
                <w:szCs w:val="21"/>
              </w:rPr>
              <w:t>包含设备材料表</w:t>
            </w:r>
            <w:r>
              <w:rPr>
                <w:rFonts w:hint="eastAsia" w:cs="宋体"/>
                <w:szCs w:val="21"/>
              </w:rPr>
              <w:t>；</w:t>
            </w:r>
          </w:p>
          <w:p>
            <w:pPr>
              <w:pStyle w:val="14"/>
              <w:spacing w:line="240" w:lineRule="auto"/>
              <w:ind w:firstLine="0" w:firstLineChars="0"/>
              <w:rPr>
                <w:rFonts w:cs="宋体"/>
              </w:rPr>
            </w:pPr>
            <w:r>
              <w:rPr>
                <w:rFonts w:hint="eastAsia"/>
                <w:szCs w:val="21"/>
              </w:rPr>
              <w:t>2）供暖空调系统能耗节能率分析报告</w:t>
            </w:r>
            <w:r>
              <w:rPr>
                <w:rFonts w:hint="eastAsia" w:cs="宋体"/>
                <w:szCs w:val="21"/>
              </w:rPr>
              <w:t>；</w:t>
            </w:r>
          </w:p>
          <w:p>
            <w:pPr>
              <w:pStyle w:val="14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3）节能计算书。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E01043"/>
    <w:rsid w:val="00074A38"/>
    <w:rsid w:val="000877F1"/>
    <w:rsid w:val="001A0A92"/>
    <w:rsid w:val="002962E0"/>
    <w:rsid w:val="00BC38A0"/>
    <w:rsid w:val="00E01043"/>
    <w:rsid w:val="02D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Wu</cp:lastModifiedBy>
  <dcterms:modified xsi:type="dcterms:W3CDTF">2024-03-15T08:55:57Z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C9FBC29AB8A84730BEBB87DAAF28767E_12</vt:lpwstr>
  </property>
</Properties>
</file>