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129" w:name="_GoBack"/>
      <w:bookmarkEnd w:id="129"/>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pPr>
              <w:pStyle w:val="17"/>
              <w:tabs>
                <w:tab w:val="left" w:pos="752"/>
                <w:tab w:val="clear" w:pos="4153"/>
                <w:tab w:val="clear" w:pos="8306"/>
              </w:tabs>
              <w:snapToGrid/>
              <w:jc w:val="center"/>
              <w:rPr>
                <w:rFonts w:ascii="宋体" w:hAnsi="宋体"/>
                <w:szCs w:val="21"/>
              </w:rPr>
            </w:pPr>
            <w:r>
              <w:rPr>
                <w:rFonts w:hint="eastAsia" w:ascii="宋体" w:hAnsi="宋体"/>
              </w:rPr>
              <w:t>凤凰创意园改造设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center"/>
              <w:rPr>
                <w:rFonts w:ascii="宋体" w:hAnsi="宋体"/>
                <w:szCs w:val="21"/>
              </w:rPr>
            </w:pPr>
            <w:r>
              <w:rPr>
                <w:rFonts w:ascii="宋体" w:hAnsi="宋体"/>
              </w:rPr>
              <w:t>浙江</w:t>
            </w:r>
            <w:r>
              <w:t>-</w:t>
            </w:r>
            <w:r>
              <w:rPr>
                <w:rFonts w:ascii="宋体" w:hAnsi="宋体"/>
              </w:rP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vAlign w:val="top"/>
          </w:tcPr>
          <w:p>
            <w:pPr>
              <w:jc w:val="center"/>
              <w:rPr>
                <w:rFonts w:ascii="宋体" w:hAnsi="宋体"/>
                <w:szCs w:val="21"/>
              </w:rPr>
            </w:pPr>
            <w:r>
              <w:rPr>
                <w:rFonts w:hint="eastAsia" w:ascii="宋体" w:hAnsi="宋体"/>
                <w:szCs w:val="21"/>
              </w:rPr>
              <w:t>2024年03月15日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1" w:name="二维码"/>
      <w:bookmarkEnd w:id="1"/>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"_Toc161364830"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_Toc161364830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"_Toc161364831"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总平面图</w:t>
      </w:r>
      <w:r>
        <w:tab/>
      </w:r>
      <w:r>
        <w:fldChar w:fldCharType="begin"/>
      </w:r>
      <w:r>
        <w:instrText xml:space="preserve"> PAGEREF _Toc161364831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"_Toc161364832"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_Toc161364832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"_Toc161364833"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_Toc161364833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"_Toc161364834"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_Toc161364834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"_Toc161364835"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计算原理</w:t>
      </w:r>
      <w:r>
        <w:tab/>
      </w:r>
      <w:r>
        <w:fldChar w:fldCharType="begin"/>
      </w:r>
      <w:r>
        <w:instrText xml:space="preserve"> PAGEREF _Toc161364835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"_Toc161364836"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风场计算域</w:t>
      </w:r>
      <w:r>
        <w:tab/>
      </w:r>
      <w:r>
        <w:fldChar w:fldCharType="begin"/>
      </w:r>
      <w:r>
        <w:instrText xml:space="preserve"> PAGEREF _Toc161364836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"_Toc161364837"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冬季工况风场计算域</w:t>
      </w:r>
      <w:r>
        <w:tab/>
      </w:r>
      <w:r>
        <w:fldChar w:fldCharType="begin"/>
      </w:r>
      <w:r>
        <w:instrText xml:space="preserve"> PAGEREF _Toc161364837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"_Toc161364838"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网格划分</w:t>
      </w:r>
      <w:r>
        <w:tab/>
      </w:r>
      <w:r>
        <w:fldChar w:fldCharType="begin"/>
      </w:r>
      <w:r>
        <w:instrText xml:space="preserve"> PAGEREF _Toc161364838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"_Toc161364839" </w:instrText>
      </w:r>
      <w:r>
        <w:fldChar w:fldCharType="separate"/>
      </w:r>
      <w:r>
        <w:rPr>
          <w:rStyle w:val="26"/>
          <w:lang w:val="en-GB"/>
        </w:rPr>
        <w:t>4.3</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_Toc161364839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"_Toc161364840" </w:instrText>
      </w:r>
      <w:r>
        <w:fldChar w:fldCharType="separate"/>
      </w:r>
      <w:r>
        <w:rPr>
          <w:rStyle w:val="26"/>
          <w:lang w:val="en-GB"/>
        </w:rPr>
        <w:t>4.3.1</w:t>
      </w:r>
      <w:r>
        <w:rPr>
          <w:rFonts w:asciiTheme="minorHAnsi" w:hAnsiTheme="minorHAnsi" w:eastAsiaTheme="minorEastAsia" w:cstheme="minorBidi"/>
          <w:szCs w:val="22"/>
          <w14:ligatures w14:val="standardContextual"/>
        </w:rPr>
        <w:tab/>
      </w:r>
      <w:r>
        <w:rPr>
          <w:rStyle w:val="26"/>
        </w:rPr>
        <w:t>入口与出口边界条件</w:t>
      </w:r>
      <w:r>
        <w:tab/>
      </w:r>
      <w:r>
        <w:fldChar w:fldCharType="begin"/>
      </w:r>
      <w:r>
        <w:instrText xml:space="preserve"> PAGEREF _Toc161364840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"_Toc161364841" </w:instrText>
      </w:r>
      <w:r>
        <w:fldChar w:fldCharType="separate"/>
      </w:r>
      <w:r>
        <w:rPr>
          <w:rStyle w:val="26"/>
          <w:lang w:val="en-GB"/>
        </w:rPr>
        <w:t>4.3.2</w:t>
      </w:r>
      <w:r>
        <w:rPr>
          <w:rFonts w:asciiTheme="minorHAnsi" w:hAnsiTheme="minorHAnsi" w:eastAsiaTheme="minorEastAsia" w:cstheme="minorBidi"/>
          <w:szCs w:val="22"/>
          <w14:ligatures w14:val="standardContextual"/>
        </w:rPr>
        <w:tab/>
      </w:r>
      <w:r>
        <w:rPr>
          <w:rStyle w:val="26"/>
        </w:rPr>
        <w:t>壁面边界条件</w:t>
      </w:r>
      <w:r>
        <w:tab/>
      </w:r>
      <w:r>
        <w:fldChar w:fldCharType="begin"/>
      </w:r>
      <w:r>
        <w:instrText xml:space="preserve"> PAGEREF _Toc161364841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"_Toc161364842" </w:instrText>
      </w:r>
      <w:r>
        <w:fldChar w:fldCharType="separate"/>
      </w:r>
      <w:r>
        <w:rPr>
          <w:rStyle w:val="26"/>
          <w:lang w:val="en-GB"/>
        </w:rPr>
        <w:t>4.4</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_Toc161364842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"_Toc161364843" </w:instrText>
      </w:r>
      <w:r>
        <w:fldChar w:fldCharType="separate"/>
      </w:r>
      <w:r>
        <w:rPr>
          <w:rStyle w:val="26"/>
          <w:lang w:val="en-GB"/>
        </w:rPr>
        <w:t>4.5</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_Toc161364843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"_Toc161364844" </w:instrText>
      </w:r>
      <w:r>
        <w:fldChar w:fldCharType="separate"/>
      </w:r>
      <w:r>
        <w:rPr>
          <w:rStyle w:val="26"/>
          <w:lang w:val="en-GB"/>
        </w:rPr>
        <w:t>4.6</w:t>
      </w:r>
      <w:r>
        <w:rPr>
          <w:rFonts w:asciiTheme="minorHAnsi" w:hAnsiTheme="minorHAnsi" w:eastAsiaTheme="minorEastAsia" w:cstheme="minorBidi"/>
          <w:szCs w:val="22"/>
          <w14:ligatures w14:val="standardContextual"/>
        </w:rPr>
        <w:tab/>
      </w:r>
      <w:r>
        <w:rPr>
          <w:rStyle w:val="26"/>
        </w:rPr>
        <w:t>风速放大系数计算</w:t>
      </w:r>
      <w:r>
        <w:tab/>
      </w:r>
      <w:r>
        <w:fldChar w:fldCharType="begin"/>
      </w:r>
      <w:r>
        <w:instrText xml:space="preserve"> PAGEREF _Toc161364844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"_Toc161364845"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_Toc161364845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"_Toc161364846"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工况表</w:t>
      </w:r>
      <w:r>
        <w:tab/>
      </w:r>
      <w:r>
        <w:fldChar w:fldCharType="begin"/>
      </w:r>
      <w:r>
        <w:instrText xml:space="preserve"> PAGEREF _Toc161364846 \h </w:instrText>
      </w:r>
      <w:r>
        <w:fldChar w:fldCharType="separate"/>
      </w:r>
      <w:r>
        <w:t>13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"_Toc161364847"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冬季工况</w:t>
      </w:r>
      <w:r>
        <w:tab/>
      </w:r>
      <w:r>
        <w:fldChar w:fldCharType="begin"/>
      </w:r>
      <w:r>
        <w:instrText xml:space="preserve"> PAGEREF _Toc161364847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"_Toc161364848" </w:instrText>
      </w:r>
      <w:r>
        <w:fldChar w:fldCharType="separate"/>
      </w:r>
      <w:r>
        <w:rPr>
          <w:rStyle w:val="26"/>
          <w:lang w:val="en-GB"/>
        </w:rPr>
        <w:t>5.2.1</w:t>
      </w:r>
      <w:r>
        <w:rPr>
          <w:rFonts w:asciiTheme="minorHAnsi" w:hAnsiTheme="minorHAnsi" w:eastAsiaTheme="minorEastAsia" w:cstheme="minorBidi"/>
          <w:szCs w:val="22"/>
          <w14:ligatures w14:val="standardContextual"/>
        </w:rPr>
        <w:tab/>
      </w:r>
      <w:r>
        <w:rPr>
          <w:rStyle w:val="26"/>
        </w:rPr>
        <w:t>风速达标分析</w:t>
      </w:r>
      <w:r>
        <w:tab/>
      </w:r>
      <w:r>
        <w:fldChar w:fldCharType="begin"/>
      </w:r>
      <w:r>
        <w:instrText xml:space="preserve"> PAGEREF _Toc161364848 \h </w:instrText>
      </w:r>
      <w:r>
        <w:fldChar w:fldCharType="separate"/>
      </w:r>
      <w:r>
        <w:t>13</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"_Toc161364849" </w:instrText>
      </w:r>
      <w:r>
        <w:fldChar w:fldCharType="separate"/>
      </w:r>
      <w:r>
        <w:rPr>
          <w:rStyle w:val="26"/>
          <w:lang w:val="en-GB"/>
        </w:rPr>
        <w:t>5.2.2</w:t>
      </w:r>
      <w:r>
        <w:rPr>
          <w:rFonts w:asciiTheme="minorHAnsi" w:hAnsiTheme="minorHAnsi" w:eastAsiaTheme="minorEastAsia" w:cstheme="minorBidi"/>
          <w:szCs w:val="22"/>
          <w14:ligatures w14:val="standardContextual"/>
        </w:rPr>
        <w:tab/>
      </w:r>
      <w:r>
        <w:rPr>
          <w:rStyle w:val="26"/>
        </w:rPr>
        <w:t>风速放大系数达标分析</w:t>
      </w:r>
      <w:r>
        <w:tab/>
      </w:r>
      <w:r>
        <w:fldChar w:fldCharType="begin"/>
      </w:r>
      <w:r>
        <w:instrText xml:space="preserve"> PAGEREF _Toc161364849 \h </w:instrText>
      </w:r>
      <w:r>
        <w:fldChar w:fldCharType="separate"/>
      </w:r>
      <w:r>
        <w:t>14</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"_Toc161364850" </w:instrText>
      </w:r>
      <w:r>
        <w:fldChar w:fldCharType="separate"/>
      </w:r>
      <w:r>
        <w:rPr>
          <w:rStyle w:val="26"/>
          <w:lang w:val="en-GB"/>
        </w:rPr>
        <w:t>5.2.3</w:t>
      </w:r>
      <w:r>
        <w:rPr>
          <w:rFonts w:asciiTheme="minorHAnsi" w:hAnsiTheme="minorHAnsi" w:eastAsiaTheme="minorEastAsia" w:cstheme="minorBidi"/>
          <w:szCs w:val="22"/>
          <w14:ligatures w14:val="standardContextual"/>
        </w:rPr>
        <w:tab/>
      </w:r>
      <w:r>
        <w:rPr>
          <w:rStyle w:val="26"/>
        </w:rPr>
        <w:t>冬季工况风速/风速放大系数达标结果汇总</w:t>
      </w:r>
      <w:r>
        <w:tab/>
      </w:r>
      <w:r>
        <w:fldChar w:fldCharType="begin"/>
      </w:r>
      <w:r>
        <w:instrText xml:space="preserve"> PAGEREF _Toc161364850 \h </w:instrText>
      </w:r>
      <w:r>
        <w:fldChar w:fldCharType="separate"/>
      </w:r>
      <w:r>
        <w:t>15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"_Toc161364851" </w:instrText>
      </w:r>
      <w:r>
        <w:fldChar w:fldCharType="separate"/>
      </w:r>
      <w:r>
        <w:rPr>
          <w:rStyle w:val="26"/>
          <w:lang w:val="en-GB"/>
        </w:rPr>
        <w:t>5.2.4</w:t>
      </w:r>
      <w:r>
        <w:rPr>
          <w:rFonts w:asciiTheme="minorHAnsi" w:hAnsiTheme="minorHAnsi" w:eastAsiaTheme="minorEastAsia" w:cstheme="minorBidi"/>
          <w:szCs w:val="22"/>
          <w14:ligatures w14:val="standardContextual"/>
        </w:rPr>
        <w:tab/>
      </w:r>
      <w:r>
        <w:rPr>
          <w:rStyle w:val="26"/>
        </w:rPr>
        <w:t>建筑迎风面和背风面风压分析</w:t>
      </w:r>
      <w:r>
        <w:tab/>
      </w:r>
      <w:r>
        <w:fldChar w:fldCharType="begin"/>
      </w:r>
      <w:r>
        <w:instrText xml:space="preserve"> PAGEREF _Toc161364851 \h </w:instrText>
      </w:r>
      <w:r>
        <w:fldChar w:fldCharType="separate"/>
      </w:r>
      <w:r>
        <w:t>15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"_Toc161364852" </w:instrText>
      </w:r>
      <w:r>
        <w:fldChar w:fldCharType="separate"/>
      </w:r>
      <w:r>
        <w:rPr>
          <w:rStyle w:val="26"/>
          <w:lang w:val="en-GB"/>
        </w:rPr>
        <w:t>5.3</w:t>
      </w:r>
      <w:r>
        <w:rPr>
          <w:rFonts w:asciiTheme="minorHAnsi" w:hAnsiTheme="minorHAnsi" w:eastAsiaTheme="minorEastAsia" w:cstheme="minorBidi"/>
          <w:szCs w:val="22"/>
          <w14:ligatures w14:val="standardContextual"/>
        </w:rPr>
        <w:tab/>
      </w:r>
      <w:r>
        <w:rPr>
          <w:rStyle w:val="26"/>
        </w:rPr>
        <w:t>结论</w:t>
      </w:r>
      <w:r>
        <w:tab/>
      </w:r>
      <w:r>
        <w:fldChar w:fldCharType="begin"/>
      </w:r>
      <w:r>
        <w:instrText xml:space="preserve"> PAGEREF _Toc161364852 \h </w:instrText>
      </w:r>
      <w:r>
        <w:fldChar w:fldCharType="separate"/>
      </w:r>
      <w:r>
        <w:t>17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"_Toc161364853" </w:instrText>
      </w:r>
      <w:r>
        <w:fldChar w:fldCharType="separate"/>
      </w:r>
      <w:r>
        <w:rPr>
          <w:rStyle w:val="26"/>
          <w:lang w:val="en-GB"/>
        </w:rPr>
        <w:t>5.3.1</w:t>
      </w:r>
      <w:r>
        <w:rPr>
          <w:rFonts w:asciiTheme="minorHAnsi" w:hAnsiTheme="minorHAnsi" w:eastAsiaTheme="minorEastAsia" w:cstheme="minorBidi"/>
          <w:szCs w:val="22"/>
          <w14:ligatures w14:val="standardContextual"/>
        </w:rPr>
        <w:tab/>
      </w:r>
      <w:r>
        <w:rPr>
          <w:rStyle w:val="26"/>
        </w:rPr>
        <w:t>冬季工况达标判断</w:t>
      </w:r>
      <w:r>
        <w:tab/>
      </w:r>
      <w:r>
        <w:fldChar w:fldCharType="begin"/>
      </w:r>
      <w:r>
        <w:instrText xml:space="preserve"> PAGEREF _Toc161364853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2" w:name="_Toc452108759"/>
      <w:bookmarkStart w:id="3" w:name="_Toc161364830"/>
      <w:r>
        <w:rPr>
          <w:rFonts w:hint="eastAsia"/>
        </w:rPr>
        <w:t>项目概况</w:t>
      </w:r>
      <w:bookmarkEnd w:id="2"/>
      <w:bookmarkEnd w:id="3"/>
    </w:p>
    <w:p>
      <w:pPr>
        <w:pStyle w:val="3"/>
        <w:ind w:firstLine="420"/>
        <w:rPr>
          <w:lang w:val="en-US"/>
        </w:rPr>
      </w:pPr>
      <w:bookmarkStart w:id="4" w:name="项目概况"/>
      <w:bookmarkEnd w:id="4"/>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5" w:name="_Toc161364831"/>
      <w:bookmarkStart w:id="6" w:name="_Toc452108760"/>
      <w:r>
        <w:rPr>
          <w:rFonts w:hint="eastAsia"/>
        </w:rPr>
        <w:t>总</w:t>
      </w:r>
      <w:r>
        <w:t>平面图</w:t>
      </w:r>
      <w:bookmarkEnd w:id="5"/>
      <w:bookmarkEnd w:id="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7"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7"/>
    </w:tbl>
    <w:p>
      <w:pPr>
        <w:pStyle w:val="3"/>
        <w:ind w:firstLine="0" w:firstLineChars="0"/>
        <w:jc w:val="center"/>
        <w:rPr>
          <w:lang w:val="en-US"/>
        </w:rPr>
      </w:pPr>
      <w:r>
        <w:rPr>
          <w:rFonts w:hint="eastAsia"/>
          <w:lang w:val="en-US"/>
        </w:rPr>
        <w:t xml:space="preserve"> </w:t>
      </w:r>
      <w:bookmarkStart w:id="8" w:name="总平面图"/>
      <w:bookmarkEnd w:id="8"/>
      <w:r>
        <w:drawing>
          <wp:inline distT="0" distB="0" distL="0" distR="0">
            <wp:extent cx="5667375" cy="3419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19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9" w:name="_Toc452108761"/>
      <w:bookmarkStart w:id="10" w:name="_Toc161364832"/>
      <w:r>
        <w:rPr>
          <w:rFonts w:hint="eastAsia"/>
        </w:rPr>
        <w:t>三</w:t>
      </w:r>
      <w:r>
        <w:t>维视图</w:t>
      </w:r>
      <w:bookmarkEnd w:id="9"/>
      <w:bookmarkEnd w:id="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1"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1"/>
    </w:tbl>
    <w:p>
      <w:pPr>
        <w:pStyle w:val="3"/>
        <w:ind w:firstLine="0" w:firstLineChars="0"/>
        <w:jc w:val="center"/>
        <w:rPr>
          <w:lang w:val="en-US"/>
        </w:rPr>
      </w:pPr>
      <w:r>
        <w:rPr>
          <w:rFonts w:hint="eastAsia"/>
          <w:lang w:val="en-US"/>
        </w:rPr>
        <w:t xml:space="preserve"> </w:t>
      </w:r>
      <w:bookmarkStart w:id="12" w:name="三维视图"/>
      <w:bookmarkEnd w:id="12"/>
      <w:r>
        <w:drawing>
          <wp:inline distT="0" distB="0" distL="0" distR="0">
            <wp:extent cx="5667375" cy="3429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29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3" w:name="_Toc452108762"/>
      <w:bookmarkStart w:id="14" w:name="TitleFormat"/>
      <w:bookmarkStart w:id="15" w:name="_Toc161364833"/>
      <w:r>
        <w:rPr>
          <w:rFonts w:hint="eastAsia"/>
        </w:rPr>
        <w:t>计算</w:t>
      </w:r>
      <w:r>
        <w:t>依据</w:t>
      </w:r>
      <w:bookmarkEnd w:id="13"/>
      <w:bookmarkEnd w:id="14"/>
      <w:bookmarkEnd w:id="15"/>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16" w:name="参考标准名称1"/>
      <w:r>
        <w:rPr>
          <w:rFonts w:hint="eastAsia"/>
          <w:lang w:val="en-US"/>
        </w:rPr>
        <w:t>《绿色建筑评价标准》GB/T50378-2019</w:t>
      </w:r>
      <w:bookmarkEnd w:id="16"/>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7" w:name="_Toc452108763"/>
      <w:bookmarkStart w:id="18" w:name="_Toc161364834"/>
      <w:r>
        <w:rPr>
          <w:rFonts w:hint="eastAsia"/>
        </w:rPr>
        <w:t>参考</w:t>
      </w:r>
      <w:r>
        <w:t>标准</w:t>
      </w:r>
      <w:bookmarkEnd w:id="17"/>
      <w:bookmarkEnd w:id="18"/>
    </w:p>
    <w:p>
      <w:pPr>
        <w:pStyle w:val="3"/>
        <w:ind w:firstLine="420"/>
        <w:rPr>
          <w:lang w:val="en-US"/>
        </w:rPr>
      </w:pPr>
      <w:r>
        <w:rPr>
          <w:rFonts w:hint="eastAsia"/>
          <w:lang w:val="en-US"/>
        </w:rPr>
        <w:t>室外风环境评价依据为</w:t>
      </w:r>
      <w:bookmarkStart w:id="19" w:name="参考标准名称2"/>
      <w:r>
        <w:rPr>
          <w:rFonts w:hint="eastAsia"/>
          <w:lang w:val="en-US"/>
        </w:rPr>
        <w:t>《绿色建筑评价标准》GB/T50378-2019</w:t>
      </w:r>
      <w:bookmarkEnd w:id="19"/>
      <w:r>
        <w:rPr>
          <w:rFonts w:hint="eastAsia"/>
          <w:lang w:val="en-US"/>
        </w:rPr>
        <w:t>中有关室外风环境的条目要求。具体要求如下：</w:t>
      </w:r>
    </w:p>
    <w:p>
      <w:pPr>
        <w:pStyle w:val="3"/>
        <w:ind w:firstLine="420"/>
        <w:rPr>
          <w:lang w:val="en-US"/>
        </w:rPr>
      </w:pPr>
      <w:bookmarkStart w:id="20" w:name="_Toc452108764"/>
      <w:bookmarkStart w:id="21" w:name="_Toc451698935"/>
      <w:bookmarkStart w:id="22"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3" w:name="参考标准冬季风速得分"/>
      <w:r>
        <w:rPr>
          <w:lang w:val="en-US"/>
        </w:rPr>
        <w:t>3</w:t>
      </w:r>
      <w:bookmarkEnd w:id="23"/>
      <w:r>
        <w:rPr>
          <w:rFonts w:hint="eastAsia"/>
          <w:lang w:val="en-US"/>
        </w:rPr>
        <w:t>分；除迎风第一排建筑外，建筑迎风面与背风面表面风压差不超过5Pa，得</w:t>
      </w:r>
      <w:bookmarkStart w:id="24" w:name="参考标准冬季风压得分"/>
      <w:r>
        <w:rPr>
          <w:lang w:val="en-US"/>
        </w:rPr>
        <w:t>2</w:t>
      </w:r>
      <w:bookmarkEnd w:id="24"/>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5" w:name="参考标准夏季风速得分"/>
      <w:r>
        <w:rPr>
          <w:lang w:val="en-US"/>
        </w:rPr>
        <w:t>3</w:t>
      </w:r>
      <w:bookmarkEnd w:id="25"/>
      <w:r>
        <w:rPr>
          <w:rFonts w:hint="eastAsia"/>
          <w:lang w:val="en-US"/>
        </w:rPr>
        <w:t>分；50%以上可开启外窗室内外表面的风压差大于0.5Pa，得</w:t>
      </w:r>
      <w:bookmarkStart w:id="26" w:name="参考标准夏季风压得分"/>
      <w:r>
        <w:rPr>
          <w:lang w:val="en-US"/>
        </w:rPr>
        <w:t>2</w:t>
      </w:r>
      <w:bookmarkEnd w:id="26"/>
      <w:r>
        <w:rPr>
          <w:rFonts w:hint="eastAsia"/>
          <w:lang w:val="en-US"/>
        </w:rPr>
        <w:t>分。</w:t>
      </w:r>
    </w:p>
    <w:p>
      <w:pPr>
        <w:pStyle w:val="2"/>
      </w:pPr>
      <w:bookmarkStart w:id="27" w:name="_Toc161364835"/>
      <w:r>
        <w:rPr>
          <w:rFonts w:hint="eastAsia"/>
        </w:rPr>
        <w:t>计算原理</w:t>
      </w:r>
      <w:bookmarkEnd w:id="20"/>
      <w:bookmarkEnd w:id="21"/>
      <w:bookmarkEnd w:id="27"/>
    </w:p>
    <w:p>
      <w:pPr>
        <w:pStyle w:val="4"/>
        <w:numPr>
          <w:ilvl w:val="1"/>
          <w:numId w:val="3"/>
        </w:numPr>
      </w:pPr>
      <w:bookmarkStart w:id="28" w:name="_Toc161364836"/>
      <w:bookmarkStart w:id="29" w:name="_Toc509844740"/>
      <w:bookmarkStart w:id="30" w:name="_Toc451698937"/>
      <w:bookmarkStart w:id="31" w:name="_Toc452108765"/>
      <w:r>
        <w:rPr>
          <w:rFonts w:hint="eastAsia"/>
        </w:rPr>
        <w:t>风场计算域</w:t>
      </w:r>
      <w:bookmarkEnd w:id="28"/>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_Toc161364837"/>
      <w:r>
        <w:rPr>
          <w:rFonts w:hint="eastAsia"/>
        </w:rPr>
        <w:t>冬季工况风场计算域</w:t>
      </w:r>
      <w:bookmarkEnd w:id="3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3" w:name="季节2"/>
      <w:r>
        <w:rPr>
          <w:rFonts w:hint="eastAsia" w:ascii="黑体" w:hAnsi="黑体" w:eastAsia="黑体"/>
          <w:sz w:val="20"/>
          <w:szCs w:val="20"/>
        </w:rPr>
        <w:t>冬季</w:t>
      </w:r>
      <w:bookmarkEnd w:id="3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422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357</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120</w:t>
            </w:r>
            <w:bookmarkEnd w:id="36"/>
          </w:p>
        </w:tc>
      </w:tr>
    </w:tbl>
    <w:p>
      <w:pPr>
        <w:pStyle w:val="3"/>
        <w:ind w:firstLine="0" w:firstLineChars="0"/>
        <w:jc w:val="center"/>
        <w:rPr>
          <w:lang w:val="en-US"/>
        </w:rPr>
      </w:pPr>
      <w:bookmarkStart w:id="37" w:name="冬季工况风场计算域图示"/>
      <w:bookmarkEnd w:id="37"/>
      <w:r>
        <w:drawing>
          <wp:inline distT="0" distB="0" distL="0" distR="0">
            <wp:extent cx="5667375" cy="3067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0670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8" w:name="季节3"/>
      <w:r>
        <w:rPr>
          <w:rFonts w:hint="eastAsia" w:ascii="黑体" w:hAnsi="黑体"/>
        </w:rPr>
        <w:t>冬季</w:t>
      </w:r>
      <w:bookmarkEnd w:id="38"/>
      <w:r>
        <w:rPr>
          <w:rFonts w:hint="eastAsia"/>
        </w:rPr>
        <w:t>工况风场计算域图示</w:t>
      </w:r>
      <w:r>
        <w:rPr>
          <w:rFonts w:hint="eastAsia"/>
          <w:szCs w:val="21"/>
          <w:lang w:val="en-US"/>
        </w:rPr>
        <w:t xml:space="preserve"> </w:t>
      </w:r>
    </w:p>
    <w:p>
      <w:pPr>
        <w:pStyle w:val="3"/>
        <w:ind w:firstLine="315" w:firstLineChars="150"/>
        <w:rPr>
          <w:lang w:val="en-US"/>
        </w:rPr>
      </w:pPr>
      <w:bookmarkStart w:id="39" w:name="计算域"/>
      <w:bookmarkEnd w:id="3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0" w:name="_Toc509844741"/>
      <w:bookmarkStart w:id="41" w:name="_Toc161364838"/>
      <w:r>
        <w:rPr>
          <w:rFonts w:hint="eastAsia"/>
        </w:rPr>
        <w:t>网格划分</w:t>
      </w:r>
      <w:bookmarkEnd w:id="40"/>
      <w:bookmarkEnd w:id="4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2" w:name="OLE_LINK276"/>
      <w:bookmarkStart w:id="43" w:name="OLE_LINK277"/>
      <w:r>
        <w:rPr>
          <w:rFonts w:hint="eastAsia"/>
        </w:rPr>
        <w:t>1）普通网格：指除靠近地面和建筑以外的网格，通常不需要特别加密处理</w:t>
      </w:r>
    </w:p>
    <w:p>
      <w:pPr>
        <w:pStyle w:val="12"/>
        <w:numPr>
          <w:ilvl w:val="0"/>
          <w:numId w:val="4"/>
        </w:numPr>
        <w:spacing w:before="156"/>
      </w:pPr>
      <w:bookmarkStart w:id="44" w:name="OLE_LINK15"/>
      <w:r>
        <w:rPr>
          <w:rFonts w:hint="eastAsia"/>
        </w:rPr>
        <w:t>分弧精度：对于有圆弧特征的建筑局部，把圆弧分解为线段时，弦到弧的最大距离；</w:t>
      </w:r>
    </w:p>
    <w:bookmarkEnd w:id="4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2"/>
      <w:bookmarkEnd w:id="4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5" w:name="季节1"/>
      <w:r>
        <w:rPr>
          <w:rFonts w:hint="eastAsia" w:ascii="黑体" w:hAnsi="黑体"/>
        </w:rPr>
        <w:t>冬季</w:t>
      </w:r>
      <w:bookmarkEnd w:id="45"/>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6" w:name="冬季网格总数"/>
            <w:r>
              <w:t>0</w:t>
            </w:r>
            <w:bookmarkEnd w:id="4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分弧精度"/>
            <w:r>
              <w:t>0.16</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初始网格"/>
            <w:r>
              <w:t>8.0</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最小细分级数"/>
            <w:r>
              <w:t>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最大细分级数"/>
            <w:r>
              <w:t>3</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远场细分级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近场细分级数"/>
            <w:r>
              <w:t>4</w:t>
            </w:r>
            <w:bookmarkEnd w:id="5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地面附面层数"/>
            <w:r>
              <w:t>5</w:t>
            </w:r>
            <w:bookmarkEnd w:id="5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建筑附面层数"/>
            <w:r>
              <w:t>2</w:t>
            </w:r>
            <w:bookmarkEnd w:id="54"/>
          </w:p>
        </w:tc>
      </w:tr>
    </w:tbl>
    <w:p>
      <w:pPr>
        <w:rPr>
          <w:szCs w:val="21"/>
          <w:lang w:val="en-US"/>
        </w:rPr>
      </w:pPr>
    </w:p>
    <w:p>
      <w:pPr>
        <w:jc w:val="center"/>
      </w:pPr>
      <w:r>
        <w:drawing>
          <wp:inline distT="0" distB="0" distL="0" distR="0">
            <wp:extent cx="5667375" cy="3305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55" w:name="季节"/>
      <w:r>
        <w:rPr>
          <w:rFonts w:hint="eastAsia" w:ascii="黑体" w:hAnsi="黑体" w:eastAsia="黑体"/>
          <w:sz w:val="20"/>
        </w:rPr>
        <w:t>冬季</w:t>
      </w:r>
      <w:bookmarkEnd w:id="55"/>
    </w:p>
    <w:p>
      <w:pPr>
        <w:pStyle w:val="3"/>
        <w:ind w:firstLine="630" w:firstLineChars="300"/>
        <w:rPr>
          <w:rFonts w:ascii="黑体" w:hAnsi="黑体" w:eastAsia="黑体"/>
          <w:szCs w:val="20"/>
          <w:lang w:val="en-US"/>
        </w:rPr>
      </w:pPr>
      <w:bookmarkStart w:id="56" w:name="网格划分信息"/>
      <w:bookmarkEnd w:id="56"/>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57" w:name="网格图"/>
      <w:bookmarkEnd w:id="57"/>
    </w:p>
    <w:p>
      <w:pPr>
        <w:pStyle w:val="4"/>
        <w:numPr>
          <w:ilvl w:val="1"/>
          <w:numId w:val="3"/>
        </w:numPr>
      </w:pPr>
      <w:bookmarkStart w:id="58" w:name="_Toc509844742"/>
      <w:bookmarkStart w:id="59" w:name="_Toc161364839"/>
      <w:r>
        <w:rPr>
          <w:rFonts w:hint="eastAsia"/>
        </w:rPr>
        <w:t>边界条件</w:t>
      </w:r>
      <w:bookmarkEnd w:id="58"/>
      <w:bookmarkEnd w:id="5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0" w:name="_Toc509844743"/>
      <w:bookmarkStart w:id="61" w:name="_Toc161364840"/>
      <w:r>
        <w:rPr>
          <w:rFonts w:hint="eastAsia"/>
        </w:rPr>
        <w:t>入口与出口边界条件</w:t>
      </w:r>
      <w:bookmarkEnd w:id="60"/>
      <w:bookmarkEnd w:id="6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5pt;width:71.1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pt;width:14.1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2" w:name="地面粗糙度指数2"/>
      <w:r>
        <w:rPr>
          <w:rFonts w:hint="eastAsia"/>
          <w:lang w:val="en-US"/>
        </w:rPr>
        <w:t>0.28</w:t>
      </w:r>
      <w:bookmarkEnd w:id="6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3" w:name="_Toc161364841"/>
      <w:bookmarkStart w:id="64" w:name="_Toc509844744"/>
      <w:r>
        <w:rPr>
          <w:rFonts w:hint="eastAsia"/>
        </w:rPr>
        <w:t>壁面边界条件</w:t>
      </w:r>
      <w:bookmarkEnd w:id="63"/>
      <w:bookmarkEnd w:id="6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5" w:name="_Toc161364842"/>
      <w:r>
        <w:rPr>
          <w:rFonts w:hint="eastAsia"/>
        </w:rPr>
        <w:t>湍流模型</w:t>
      </w:r>
      <w:bookmarkEnd w:id="30"/>
      <w:bookmarkEnd w:id="31"/>
      <w:bookmarkEnd w:id="6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6" w:name="_Toc452108767"/>
      <w:bookmarkStart w:id="67" w:name="_Toc161364843"/>
      <w:bookmarkStart w:id="68" w:name="_Toc451698939"/>
      <w:r>
        <w:rPr>
          <w:rFonts w:hint="eastAsia"/>
        </w:rPr>
        <w:t>求解计算</w:t>
      </w:r>
      <w:bookmarkEnd w:id="66"/>
      <w:bookmarkEnd w:id="67"/>
      <w:bookmarkEnd w:id="6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9"/>
      <w:r>
        <w:rPr>
          <w:rFonts w:hint="eastAsia" w:ascii="黑体" w:hAnsi="黑体" w:eastAsia="黑体"/>
          <w:sz w:val="20"/>
          <w:szCs w:val="20"/>
        </w:rPr>
        <w:t xml:space="preserve"> </w:t>
      </w:r>
      <w:bookmarkStart w:id="70" w:name="_Ref225175618"/>
      <w:r>
        <w:rPr>
          <w:rFonts w:hint="eastAsia" w:ascii="黑体" w:hAnsi="黑体" w:eastAsia="黑体"/>
          <w:sz w:val="20"/>
          <w:szCs w:val="20"/>
        </w:rPr>
        <w:t>计算流体力学的控制方程</w:t>
      </w:r>
      <w:bookmarkEnd w:id="7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2"/>
    </w:p>
    <w:p>
      <w:pPr>
        <w:pStyle w:val="4"/>
      </w:pPr>
      <w:bookmarkStart w:id="71" w:name="_Toc509844747"/>
      <w:bookmarkStart w:id="72" w:name="_Toc161364844"/>
      <w:r>
        <w:rPr>
          <w:rFonts w:hint="eastAsia"/>
        </w:rPr>
        <w:t>风速放大系数计算</w:t>
      </w:r>
      <w:bookmarkEnd w:id="71"/>
      <w:bookmarkEnd w:id="7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1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25pt;width:24.15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4.15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4" w:name="_Toc161364845"/>
      <w:bookmarkStart w:id="75" w:name="_Toc452108768"/>
      <w:r>
        <w:rPr>
          <w:rFonts w:hint="eastAsia"/>
        </w:rPr>
        <w:t>结果</w:t>
      </w:r>
      <w:r>
        <w:t>分析</w:t>
      </w:r>
      <w:bookmarkEnd w:id="74"/>
      <w:bookmarkEnd w:id="75"/>
    </w:p>
    <w:p>
      <w:pPr>
        <w:pStyle w:val="4"/>
        <w:rPr>
          <w:szCs w:val="21"/>
        </w:rPr>
      </w:pPr>
      <w:bookmarkStart w:id="76" w:name="_Toc161364846"/>
      <w:r>
        <w:rPr>
          <w:rFonts w:hint="eastAsia"/>
          <w:szCs w:val="21"/>
        </w:rPr>
        <w:t>工况</w:t>
      </w:r>
      <w:r>
        <w:rPr>
          <w:szCs w:val="21"/>
        </w:rPr>
        <w:t>表</w:t>
      </w:r>
      <w:bookmarkEnd w:id="7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3.30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90.0</w:t>
            </w:r>
          </w:p>
        </w:tc>
      </w:tr>
      <w:bookmarkEnd w:id="7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8" w:name="_Toc161364847"/>
      <w:bookmarkStart w:id="79" w:name="_Toc509844750"/>
      <w:r>
        <w:rPr>
          <w:rFonts w:hint="eastAsia"/>
        </w:rPr>
        <w:t>冬季工况</w:t>
      </w:r>
      <w:bookmarkEnd w:id="78"/>
      <w:bookmarkEnd w:id="79"/>
    </w:p>
    <w:p>
      <w:pPr>
        <w:ind w:firstLine="420" w:firstLineChars="200"/>
        <w:jc w:val="both"/>
      </w:pPr>
      <w:r>
        <w:rPr>
          <w:rFonts w:hint="eastAsia"/>
          <w:lang w:val="en-US"/>
        </w:rPr>
        <w:t>本项目冬季工况的入口边界风速为</w:t>
      </w:r>
      <w:bookmarkStart w:id="80" w:name="冬季入口边界风速"/>
      <w:r>
        <w:rPr>
          <w:rFonts w:hint="eastAsia" w:ascii="Calibri" w:hAnsi="Calibri"/>
          <w:szCs w:val="21"/>
        </w:rPr>
        <w:t>3.30</w:t>
      </w:r>
      <w:bookmarkEnd w:id="80"/>
      <w:r>
        <w:rPr>
          <w:rFonts w:ascii="Calibri" w:hAnsi="Calibri"/>
          <w:szCs w:val="21"/>
        </w:rPr>
        <w:t>m/s</w:t>
      </w:r>
      <w:r>
        <w:rPr>
          <w:rFonts w:hint="eastAsia" w:ascii="Calibri" w:hAnsi="Calibri"/>
          <w:szCs w:val="21"/>
        </w:rPr>
        <w:t>，风向为</w:t>
      </w:r>
      <w:bookmarkStart w:id="81" w:name="冬季入口边界风向"/>
      <w:r>
        <w:rPr>
          <w:szCs w:val="21"/>
        </w:rPr>
        <w:t>N</w:t>
      </w:r>
      <w:bookmarkEnd w:id="81"/>
      <w:r>
        <w:rPr>
          <w:rFonts w:hint="eastAsia"/>
          <w:szCs w:val="21"/>
        </w:rPr>
        <w:t>。</w:t>
      </w:r>
    </w:p>
    <w:p>
      <w:pPr>
        <w:pStyle w:val="5"/>
      </w:pPr>
      <w:bookmarkStart w:id="82" w:name="_Toc161364848"/>
      <w:bookmarkStart w:id="83" w:name="_Toc509844751"/>
      <w:r>
        <w:rPr>
          <w:rFonts w:hint="eastAsia"/>
        </w:rPr>
        <w:t>风速达标分析</w:t>
      </w:r>
      <w:bookmarkEnd w:id="82"/>
      <w:bookmarkEnd w:id="83"/>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84" w:name="冬季工况人行区风速分析结论"/>
      <w:bookmarkEnd w:id="84"/>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85" w:name="冬季工况人行区风速云图"/>
      <w:bookmarkEnd w:id="85"/>
      <w:r>
        <w:drawing>
          <wp:inline distT="0" distB="0" distL="0" distR="0">
            <wp:extent cx="5667375" cy="2895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8956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86" w:name="_Toc509844752"/>
      <w:bookmarkStart w:id="87" w:name="_Toc161364849"/>
      <w:r>
        <w:rPr>
          <w:rFonts w:hint="eastAsia"/>
        </w:rPr>
        <w:t>风速放大系数达标分析</w:t>
      </w:r>
      <w:bookmarkEnd w:id="86"/>
      <w:bookmarkEnd w:id="87"/>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8" w:name="冬季工况人行区风速放大系数分析结论"/>
      <w:bookmarkEnd w:id="88"/>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89" w:name="冬季工况人行区风速放大系数云图"/>
      <w:bookmarkEnd w:id="89"/>
      <w:r>
        <w:drawing>
          <wp:inline distT="0" distB="0" distL="0" distR="0">
            <wp:extent cx="5667375" cy="2867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ascii="黑体" w:hAnsi="黑体" w:eastAsia="黑体"/>
          <w:lang w:val="en-US"/>
        </w:rPr>
      </w:pPr>
      <w:r>
        <w:rPr>
          <w:rFonts w:hint="eastAsia" w:ascii="黑体" w:hAnsi="黑体" w:eastAsia="黑体"/>
          <w:lang w:val="en-US"/>
        </w:rPr>
        <w:t>2）通常将1.5米作为一般人群的参考行走高度，也可酌情调整人行走高度。</w:t>
      </w:r>
      <w:bookmarkStart w:id="90" w:name="_Toc509844754"/>
      <w:bookmarkEnd w:id="90"/>
      <w:bookmarkStart w:id="91" w:name="_Toc509844755"/>
      <w:bookmarkEnd w:id="91"/>
      <w:bookmarkStart w:id="92" w:name="_Toc509844756"/>
      <w:bookmarkEnd w:id="92"/>
      <w:bookmarkStart w:id="93" w:name="_Toc509844757"/>
      <w:bookmarkEnd w:id="93"/>
    </w:p>
    <w:p>
      <w:pPr>
        <w:pStyle w:val="3"/>
        <w:ind w:firstLine="420"/>
        <w:rPr>
          <w:lang w:val="en-US"/>
        </w:rPr>
      </w:pPr>
    </w:p>
    <w:p>
      <w:pPr>
        <w:pStyle w:val="5"/>
      </w:pPr>
      <w:bookmarkStart w:id="94" w:name="_Toc509844753"/>
      <w:bookmarkStart w:id="95" w:name="_Toc161364850"/>
      <w:r>
        <w:rPr>
          <w:rFonts w:hint="eastAsia"/>
        </w:rPr>
        <w:t>冬季工况风速/风速放大系数达标</w:t>
      </w:r>
      <w:bookmarkEnd w:id="94"/>
      <w:r>
        <w:rPr>
          <w:rFonts w:hint="eastAsia"/>
        </w:rPr>
        <w:t>结果汇总</w:t>
      </w:r>
      <w:bookmarkEnd w:id="9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96" w:name="冬季工况风速是否有超限区域"/>
            <w:r>
              <w:rPr>
                <w:rFonts w:hint="eastAsia" w:ascii="宋体" w:hAnsi="宋体" w:cs="宋体"/>
                <w:color w:val="000000"/>
                <w:sz w:val="22"/>
                <w:szCs w:val="22"/>
                <w:lang w:val="en-US"/>
              </w:rPr>
              <w:t>否</w:t>
            </w:r>
            <w:bookmarkEnd w:id="9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7" w:name="冬季工况风速达标判断"/>
            <w:r>
              <w:rPr>
                <w:rFonts w:hint="eastAsia" w:ascii="宋体" w:hAnsi="宋体" w:cs="宋体"/>
                <w:color w:val="000000"/>
                <w:sz w:val="22"/>
                <w:szCs w:val="22"/>
                <w:lang w:val="en-US"/>
              </w:rPr>
              <w:t>是</w:t>
            </w:r>
            <w:bookmarkEnd w:id="9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98" w:name="冬季工况风速放大系数是否有超限区域"/>
            <w:r>
              <w:rPr>
                <w:rFonts w:hint="eastAsia" w:ascii="宋体" w:hAnsi="宋体" w:cs="宋体"/>
                <w:color w:val="000000"/>
                <w:sz w:val="22"/>
                <w:szCs w:val="22"/>
                <w:lang w:val="en-US"/>
              </w:rPr>
              <w:t>否</w:t>
            </w:r>
            <w:bookmarkEnd w:id="98"/>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9" w:name="冬季工况风速放大系数达标判断"/>
            <w:r>
              <w:rPr>
                <w:rFonts w:hint="eastAsia" w:ascii="宋体" w:hAnsi="宋体" w:cs="宋体"/>
                <w:color w:val="000000"/>
                <w:sz w:val="22"/>
                <w:szCs w:val="22"/>
                <w:lang w:val="en-US"/>
              </w:rPr>
              <w:t>是</w:t>
            </w:r>
            <w:bookmarkEnd w:id="99"/>
          </w:p>
        </w:tc>
      </w:tr>
    </w:tbl>
    <w:p/>
    <w:p>
      <w:pPr>
        <w:pStyle w:val="5"/>
      </w:pPr>
      <w:bookmarkStart w:id="100" w:name="_Toc161364851"/>
      <w:r>
        <w:rPr>
          <w:rFonts w:hint="eastAsia"/>
        </w:rPr>
        <w:t>建筑迎风面和背风面风压分析</w:t>
      </w:r>
      <w:bookmarkEnd w:id="100"/>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01" w:name="冬季工况建筑迎风面风压云图"/>
      <w:bookmarkEnd w:id="101"/>
      <w:r>
        <w:drawing>
          <wp:inline distT="0" distB="0" distL="0" distR="0">
            <wp:extent cx="5667375" cy="3048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048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02" w:name="冬季工况建筑背风面风压云图"/>
      <w:bookmarkEnd w:id="102"/>
      <w:r>
        <w:drawing>
          <wp:inline distT="0" distB="0" distL="0" distR="0">
            <wp:extent cx="5667375" cy="30765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4"/>
                    <a:stretch>
                      <a:fillRect/>
                    </a:stretch>
                  </pic:blipFill>
                  <pic:spPr>
                    <a:xfrm>
                      <a:off x="0" y="0"/>
                      <a:ext cx="5667375" cy="30765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03"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4" w:name="建筑迎背风面风压差表_建筑名"/>
      <w:r>
        <w:rPr>
          <w:rFonts w:ascii="Cambria" w:hAnsi="Cambria" w:eastAsia="黑体"/>
          <w:sz w:val="20"/>
        </w:rPr>
        <w:t>模型改</w:t>
      </w:r>
      <w:bookmarkEnd w:id="10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0.00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0.00</w:t>
            </w:r>
          </w:p>
        </w:tc>
      </w:tr>
    </w:tbl>
    <w:p>
      <w:bookmarkStart w:id="105" w:name="结论"/>
      <w:bookmarkEnd w:id="105"/>
      <w:r>
        <w:t>标准要求：迎背风面窗平均风压差（绝对值）≤5Pa。结论：该楼</w:t>
      </w:r>
      <w:r>
        <w:rPr>
          <w:b/>
          <w:color w:val="0000FF"/>
        </w:rPr>
        <w:t>达标</w:t>
      </w:r>
      <w:r>
        <w:t>。</w:t>
      </w:r>
    </w:p>
    <w:bookmarkEnd w:id="103"/>
    <w:p>
      <w:pPr>
        <w:jc w:val="center"/>
        <w:rPr>
          <w:rFonts w:ascii="Cambria" w:hAnsi="Cambria" w:eastAsia="黑体"/>
          <w:sz w:val="20"/>
        </w:rPr>
      </w:pPr>
      <w:bookmarkStart w:id="106" w:name="建筑迎背风面风压差表_新增"/>
      <w:bookmarkEnd w:id="106"/>
      <w:bookmarkStart w:id="107" w:name="建筑迎背风面风压差表"/>
    </w:p>
    <w:bookmarkEnd w:id="107"/>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08"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模型改</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bookmarkEnd w:id="108"/>
    </w:tbl>
    <w:p>
      <w:pPr>
        <w:rPr>
          <w:lang w:val="en-US"/>
        </w:rPr>
      </w:pPr>
      <w:bookmarkStart w:id="109" w:name="建筑迎风和背风面风压差结论汇总结论"/>
      <w:bookmarkEnd w:id="109"/>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0" w:name="冬季工况"/>
      <w:bookmarkEnd w:id="110"/>
      <w:r>
        <w:rPr>
          <w:rFonts w:hint="eastAsia"/>
          <w:lang w:val="en-US"/>
        </w:rPr>
        <w:t xml:space="preserve"> </w:t>
      </w:r>
    </w:p>
    <w:p>
      <w:pPr>
        <w:rPr>
          <w:lang w:val="en-US"/>
        </w:rPr>
      </w:pPr>
      <w:bookmarkStart w:id="111" w:name="其他工况"/>
      <w:bookmarkEnd w:id="111"/>
      <w:r>
        <w:rPr>
          <w:rFonts w:hint="eastAsia"/>
          <w:lang w:val="en-US"/>
        </w:rPr>
        <w:t xml:space="preserve"> </w:t>
      </w:r>
    </w:p>
    <w:p>
      <w:pPr>
        <w:pStyle w:val="4"/>
      </w:pPr>
      <w:bookmarkStart w:id="112" w:name="_Toc509844764"/>
      <w:bookmarkStart w:id="113" w:name="_Toc161364852"/>
      <w:r>
        <w:rPr>
          <w:rFonts w:hint="eastAsia"/>
        </w:rPr>
        <w:t>结论</w:t>
      </w:r>
      <w:bookmarkEnd w:id="112"/>
      <w:bookmarkEnd w:id="113"/>
    </w:p>
    <w:p>
      <w:pPr>
        <w:pStyle w:val="5"/>
      </w:pPr>
      <w:bookmarkStart w:id="114" w:name="_Toc161364853"/>
      <w:bookmarkStart w:id="115" w:name="_Toc509844765"/>
      <w:r>
        <w:rPr>
          <w:rFonts w:hint="eastAsia"/>
        </w:rPr>
        <w:t>冬季工况达标判断</w:t>
      </w:r>
      <w:bookmarkEnd w:id="114"/>
      <w:bookmarkEnd w:id="115"/>
      <w:bookmarkStart w:id="116" w:name="_Toc509844766"/>
      <w:bookmarkEnd w:id="116"/>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17" w:name="标准要求冬季风速得分"/>
            <w:r>
              <w:rPr>
                <w:rFonts w:hint="eastAsia"/>
                <w:lang w:val="en-US"/>
              </w:rPr>
              <w:t>3</w:t>
            </w:r>
            <w:bookmarkEnd w:id="117"/>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18" w:name="冬季风速结果计算域"/>
            <w:r>
              <w:t>没有出现</w:t>
            </w:r>
            <w:bookmarkEnd w:id="11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19" w:name="冬季风速达标判定"/>
            <w:r>
              <w:rPr>
                <w:rFonts w:hint="eastAsia"/>
                <w:b/>
                <w:lang w:val="en-US"/>
              </w:rPr>
              <w:t>达标</w:t>
            </w:r>
            <w:bookmarkEnd w:id="119"/>
          </w:p>
        </w:tc>
        <w:tc>
          <w:tcPr>
            <w:tcW w:w="1416" w:type="dxa"/>
            <w:vMerge w:val="restart"/>
            <w:tcBorders>
              <w:top w:val="single" w:color="auto" w:sz="4" w:space="0"/>
            </w:tcBorders>
            <w:shd w:val="clear" w:color="auto" w:fill="auto"/>
            <w:vAlign w:val="center"/>
          </w:tcPr>
          <w:p>
            <w:pPr>
              <w:jc w:val="center"/>
              <w:rPr>
                <w:lang w:val="en-US"/>
              </w:rPr>
            </w:pPr>
            <w:bookmarkStart w:id="120" w:name="冬季风速得分"/>
            <w:r>
              <w:rPr>
                <w:rFonts w:hint="eastAsia"/>
                <w:lang w:val="en-US"/>
              </w:rPr>
              <w:t>3</w:t>
            </w:r>
            <w:bookmarkEnd w:id="120"/>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21" w:name="冬季风速放大系数结果计算域"/>
            <w:r>
              <w:t>没有出现</w:t>
            </w:r>
            <w:bookmarkEnd w:id="121"/>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22" w:name="标准要求冬季风压得分"/>
            <w:r>
              <w:rPr>
                <w:rFonts w:hint="eastAsia"/>
                <w:lang w:val="en-US"/>
              </w:rPr>
              <w:t>2</w:t>
            </w:r>
            <w:bookmarkEnd w:id="122"/>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23" w:name="冬季迎背风面结果"/>
            <w:r>
              <w:t>没有出现</w:t>
            </w:r>
            <w:bookmarkEnd w:id="123"/>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24" w:name="冬季迎背风面达标判定"/>
            <w:r>
              <w:rPr>
                <w:rFonts w:hint="eastAsia"/>
                <w:b/>
                <w:lang w:val="en-US"/>
              </w:rPr>
              <w:t>达标</w:t>
            </w:r>
            <w:bookmarkEnd w:id="124"/>
          </w:p>
        </w:tc>
        <w:tc>
          <w:tcPr>
            <w:tcW w:w="1416" w:type="dxa"/>
            <w:shd w:val="clear" w:color="auto" w:fill="auto"/>
            <w:vAlign w:val="center"/>
          </w:tcPr>
          <w:p>
            <w:pPr>
              <w:jc w:val="center"/>
              <w:rPr>
                <w:lang w:val="en-US"/>
              </w:rPr>
            </w:pPr>
            <w:bookmarkStart w:id="125" w:name="冬季迎背风面得分"/>
            <w:r>
              <w:rPr>
                <w:rFonts w:hint="eastAsia"/>
                <w:lang w:val="en-US"/>
              </w:rPr>
              <w:t>2</w:t>
            </w:r>
            <w:bookmarkEnd w:id="125"/>
            <w:r>
              <w:rPr>
                <w:rFonts w:hint="eastAsia"/>
                <w:lang w:val="en-US"/>
              </w:rPr>
              <w:t>分</w:t>
            </w:r>
          </w:p>
        </w:tc>
      </w:tr>
    </w:tbl>
    <w:p>
      <w:pPr>
        <w:rPr>
          <w:szCs w:val="21"/>
          <w:lang w:val="en-US"/>
        </w:rPr>
      </w:pPr>
      <w:bookmarkStart w:id="126" w:name="_Toc509844767"/>
      <w:bookmarkEnd w:id="126"/>
      <w:bookmarkStart w:id="127" w:name="_Toc509844768"/>
      <w:bookmarkEnd w:id="127"/>
    </w:p>
    <w:p>
      <w:pPr>
        <w:pStyle w:val="3"/>
        <w:ind w:firstLine="0" w:firstLineChars="0"/>
        <w:rPr>
          <w:lang w:val="en-US"/>
        </w:rPr>
      </w:pPr>
      <w:r>
        <w:rPr>
          <w:rFonts w:hint="eastAsia"/>
          <w:lang w:val="en-US"/>
        </w:rPr>
        <w:t>综合上述达标判断详表的信息，可知本项目得分为</w:t>
      </w:r>
      <w:bookmarkStart w:id="128" w:name="总得分"/>
      <w:r>
        <w:rPr>
          <w:rFonts w:hint="eastAsia"/>
          <w:lang w:val="en-US"/>
        </w:rPr>
        <w:t>5</w:t>
      </w:r>
      <w:bookmarkEnd w:id="12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NmU2Y2FiZDhhMDczYjhiOGUzMGViYjAwZGQwNzYifQ=="/>
  </w:docVars>
  <w:rsids>
    <w:rsidRoot w:val="00026CEF"/>
    <w:rsid w:val="00005045"/>
    <w:rsid w:val="0000578F"/>
    <w:rsid w:val="0002001E"/>
    <w:rsid w:val="000219DF"/>
    <w:rsid w:val="00026CE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47B6C"/>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2A0C"/>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6DE6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7;&#2282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tmp1</Template>
  <Company>ths</Company>
  <Pages>17</Pages>
  <Words>1294</Words>
  <Characters>7380</Characters>
  <Lines>61</Lines>
  <Paragraphs>17</Paragraphs>
  <TotalTime>0</TotalTime>
  <ScaleCrop>false</ScaleCrop>
  <LinksUpToDate>false</LinksUpToDate>
  <CharactersWithSpaces>8657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2024-03-14T19:13:00Z</dcterms:created>
  <dc:creator>莫天</dc:creator>
  <cp:lastModifiedBy>WJY</cp:lastModifiedBy>
  <cp:lastPrinted>1900-12-31T16:00:00Z</cp:lastPrinted>
  <dcterms:modified xsi:type="dcterms:W3CDTF">2024-03-14T19:25:25Z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15D59C8817DF422CA567BD3B2201B849_12</vt:lpwstr>
  </property>
</Properties>
</file>