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韧性城市背景下的社区邻里中心设计</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rPr>
                <w:rFonts w:hint="default"/>
                <w:lang w:val="en-US" w:eastAsia="zh-CN"/>
              </w:rPr>
            </w:pPr>
            <w:bookmarkStart w:id="2" w:name="设计编号"/>
            <w:r>
              <w:rPr>
                <w:rFonts w:hint="eastAsia"/>
              </w:rPr>
              <w:t>Bk2A600</w:t>
            </w:r>
            <w:bookmarkEnd w:id="2"/>
            <w:r>
              <w:rPr>
                <w:rFonts w:hint="eastAsia"/>
                <w:lang w:val="en-US" w:eastAsia="zh-CN"/>
              </w:rPr>
              <w:t>31</w:t>
            </w:r>
            <w:bookmarkStart w:id="51" w:name="_GoBack"/>
            <w:bookmarkEnd w:id="5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2023年11月7日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T19829807739</w:t>
            </w:r>
            <w:bookmarkEnd w:id="9"/>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4"/>
        </w:rPr>
        <w:t>1</w:t>
      </w:r>
      <w:r>
        <w:rPr>
          <w:b w:val="0"/>
          <w:bCs w:val="0"/>
        </w:rPr>
        <w:tab/>
      </w:r>
      <w:r>
        <w:rPr>
          <w:rStyle w:val="24"/>
          <w:rFonts w:hint="eastAsia"/>
        </w:rPr>
        <w:t>建筑概况</w:t>
      </w:r>
      <w:r>
        <w:tab/>
      </w:r>
      <w:r>
        <w:fldChar w:fldCharType="begin"/>
      </w:r>
      <w:r>
        <w:instrText xml:space="preserve"> PAGEREF _Toc441480674 \h </w:instrText>
      </w:r>
      <w:r>
        <w:fldChar w:fldCharType="separate"/>
      </w:r>
      <w:r>
        <w:t>3</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4"/>
        </w:rPr>
        <w:t>2</w:t>
      </w:r>
      <w:r>
        <w:rPr>
          <w:b w:val="0"/>
          <w:bCs w:val="0"/>
        </w:rPr>
        <w:tab/>
      </w:r>
      <w:r>
        <w:rPr>
          <w:rStyle w:val="24"/>
          <w:rFonts w:hint="eastAsia"/>
        </w:rPr>
        <w:t>标准依据</w:t>
      </w:r>
      <w:r>
        <w:tab/>
      </w:r>
      <w:r>
        <w:fldChar w:fldCharType="begin"/>
      </w:r>
      <w:r>
        <w:instrText xml:space="preserve"> PAGEREF _Toc441480675 \h </w:instrText>
      </w:r>
      <w:r>
        <w:fldChar w:fldCharType="separate"/>
      </w:r>
      <w:r>
        <w:t>3</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4"/>
        </w:rPr>
        <w:t>3</w:t>
      </w:r>
      <w:r>
        <w:rPr>
          <w:b w:val="0"/>
          <w:bCs w:val="0"/>
        </w:rPr>
        <w:tab/>
      </w:r>
      <w:r>
        <w:rPr>
          <w:rStyle w:val="24"/>
          <w:rFonts w:hint="eastAsia"/>
        </w:rPr>
        <w:t>计算方法</w:t>
      </w:r>
      <w:r>
        <w:tab/>
      </w:r>
      <w:r>
        <w:fldChar w:fldCharType="begin"/>
      </w:r>
      <w:r>
        <w:instrText xml:space="preserve"> PAGEREF _Toc441480676 \h </w:instrText>
      </w:r>
      <w:r>
        <w:fldChar w:fldCharType="separate"/>
      </w:r>
      <w:r>
        <w:t>3</w:t>
      </w:r>
      <w:r>
        <w:fldChar w:fldCharType="end"/>
      </w:r>
      <w:r>
        <w:fldChar w:fldCharType="end"/>
      </w:r>
    </w:p>
    <w:p>
      <w:pPr>
        <w:pStyle w:val="19"/>
      </w:pPr>
      <w:r>
        <w:fldChar w:fldCharType="begin"/>
      </w:r>
      <w:r>
        <w:instrText xml:space="preserve"> HYPERLINK \l "_Toc441480677" </w:instrText>
      </w:r>
      <w:r>
        <w:fldChar w:fldCharType="separate"/>
      </w:r>
      <w:r>
        <w:rPr>
          <w:rStyle w:val="24"/>
          <w:lang w:val="en-GB"/>
        </w:rPr>
        <w:t>3.1</w:t>
      </w:r>
      <w:r>
        <w:tab/>
      </w:r>
      <w:r>
        <w:rPr>
          <w:rStyle w:val="24"/>
          <w:rFonts w:hint="eastAsia"/>
        </w:rPr>
        <w:t>空气声隔声单值评价量</w:t>
      </w:r>
      <w:r>
        <w:tab/>
      </w:r>
      <w:r>
        <w:fldChar w:fldCharType="begin"/>
      </w:r>
      <w:r>
        <w:instrText xml:space="preserve"> PAGEREF _Toc441480677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"_Toc441480678" </w:instrText>
      </w:r>
      <w:r>
        <w:fldChar w:fldCharType="separate"/>
      </w:r>
      <w:r>
        <w:rPr>
          <w:rStyle w:val="24"/>
          <w:lang w:val="en-GB"/>
        </w:rPr>
        <w:t>3.2</w:t>
      </w:r>
      <w:r>
        <w:tab/>
      </w:r>
      <w:r>
        <w:rPr>
          <w:rStyle w:val="24"/>
          <w:rFonts w:hint="eastAsia"/>
        </w:rPr>
        <w:t>空气声频谱修正量</w:t>
      </w:r>
      <w:r>
        <w:tab/>
      </w:r>
      <w:r>
        <w:fldChar w:fldCharType="begin"/>
      </w:r>
      <w:r>
        <w:instrText xml:space="preserve"> PAGEREF _Toc441480678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"_Toc441480679" </w:instrText>
      </w:r>
      <w:r>
        <w:fldChar w:fldCharType="separate"/>
      </w:r>
      <w:r>
        <w:rPr>
          <w:rStyle w:val="24"/>
          <w:lang w:val="en-GB"/>
        </w:rPr>
        <w:t>3.3</w:t>
      </w:r>
      <w:r>
        <w:tab/>
      </w:r>
      <w:r>
        <w:rPr>
          <w:rStyle w:val="24"/>
          <w:rFonts w:hint="eastAsia"/>
        </w:rPr>
        <w:t>撞击声隔声单值评价量</w:t>
      </w:r>
      <w:r>
        <w:tab/>
      </w:r>
      <w:r>
        <w:fldChar w:fldCharType="begin"/>
      </w:r>
      <w:r>
        <w:instrText xml:space="preserve"> PAGEREF _Toc441480679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"_Toc441480680" </w:instrText>
      </w:r>
      <w:r>
        <w:fldChar w:fldCharType="separate"/>
      </w:r>
      <w:r>
        <w:rPr>
          <w:rStyle w:val="24"/>
          <w:lang w:val="en-GB"/>
        </w:rPr>
        <w:t>3.4</w:t>
      </w:r>
      <w:r>
        <w:tab/>
      </w:r>
      <w:r>
        <w:rPr>
          <w:rStyle w:val="24"/>
          <w:rFonts w:hint="eastAsia"/>
        </w:rPr>
        <w:t>组合墙有效隔声量</w:t>
      </w:r>
      <w:r>
        <w:tab/>
      </w:r>
      <w:r>
        <w:fldChar w:fldCharType="begin"/>
      </w:r>
      <w:r>
        <w:instrText xml:space="preserve"> PAGEREF _Toc441480680 \h </w:instrText>
      </w:r>
      <w:r>
        <w:fldChar w:fldCharType="separate"/>
      </w:r>
      <w:r>
        <w:rPr>
          <w:rFonts w:hint="eastAsia"/>
          <w:b/>
          <w:bCs/>
        </w:rPr>
        <w:t>错误!未定义书签。</w:t>
      </w:r>
      <w:r>
        <w:fldChar w:fldCharType="end"/>
      </w:r>
      <w:r>
        <w:fldChar w:fldCharType="end"/>
      </w:r>
    </w:p>
    <w:p>
      <w:pPr>
        <w:pStyle w:val="14"/>
        <w:ind w:firstLine="180"/>
      </w:pPr>
      <w:r>
        <w:fldChar w:fldCharType="begin"/>
      </w:r>
      <w:r>
        <w:instrText xml:space="preserve"> HYPERLINK \l "_Toc441480681" </w:instrText>
      </w:r>
      <w:r>
        <w:fldChar w:fldCharType="separate"/>
      </w:r>
      <w:r>
        <w:rPr>
          <w:rStyle w:val="24"/>
          <w:lang w:val="en-GB"/>
        </w:rPr>
        <w:t>3.4.1</w:t>
      </w:r>
      <w:r>
        <w:tab/>
      </w:r>
      <w:r>
        <w:rPr>
          <w:rStyle w:val="24"/>
          <w:rFonts w:hint="eastAsia"/>
        </w:rPr>
        <w:t>组合墙有效隔声量</w:t>
      </w:r>
      <w:r>
        <w:tab/>
      </w:r>
      <w:r>
        <w:fldChar w:fldCharType="begin"/>
      </w:r>
      <w:r>
        <w:instrText xml:space="preserve"> PAGEREF _Toc441480681 \h </w:instrText>
      </w:r>
      <w:r>
        <w:fldChar w:fldCharType="separate"/>
      </w:r>
      <w:r>
        <w:rPr>
          <w:rFonts w:hint="eastAsia"/>
          <w:b/>
          <w:bCs/>
        </w:rPr>
        <w:t>错误!未定义书签。</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441480674"/>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r>
              <w:t>韧性城市背景下的社区邻里中心设计</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5097</w:t>
            </w:r>
            <w:bookmarkEnd w:id="13"/>
            <w:r>
              <w:rPr>
                <w:rFonts w:hint="eastAsia"/>
              </w:rPr>
              <w:t xml:space="preserve">      地下</w:t>
            </w:r>
            <w:bookmarkStart w:id="14" w:name="地下建筑面积"/>
            <w:r>
              <w:t>847</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3</w:t>
            </w:r>
            <w:bookmarkEnd w:id="15"/>
            <w:r>
              <w:rPr>
                <w:rFonts w:hint="eastAsia"/>
              </w:rPr>
              <w:t xml:space="preserve">      地下</w:t>
            </w:r>
            <w:bookmarkStart w:id="16" w:name="地下建筑层数"/>
            <w:r>
              <w:t>1</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11.7</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90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lang w:val="en-US"/>
        </w:rPr>
      </w:pPr>
      <w:bookmarkStart w:id="21" w:name="_Toc441480675"/>
      <w:r>
        <w:rPr>
          <w:rFonts w:hint="eastAsia"/>
          <w:lang w:val="en-US"/>
        </w:rPr>
        <w:t>图1</w:t>
      </w:r>
      <w:r>
        <w:rPr>
          <w:lang w:val="en-US"/>
        </w:rPr>
        <w:t>-1</w:t>
      </w:r>
      <w:r>
        <w:rPr>
          <w:rFonts w:hint="eastAsia"/>
          <w:lang w:val="en-US"/>
        </w:rPr>
        <w:t xml:space="preserve"> </w:t>
      </w:r>
      <w:r>
        <w:rPr>
          <w:lang w:val="en-US"/>
        </w:rPr>
        <w:t>建筑模型</w:t>
      </w:r>
    </w:p>
    <w:p>
      <w:pPr>
        <w:pStyle w:val="2"/>
      </w:pPr>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w:t>
      </w:r>
      <w:r>
        <w:rPr>
          <w:lang w:val="en-US"/>
        </w:rPr>
        <w:t xml:space="preserve"> </w:t>
      </w:r>
      <w:r>
        <w:rPr>
          <w:rFonts w:hint="eastAsia"/>
          <w:lang w:val="en-US"/>
        </w:rPr>
        <w: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w:t>
      </w:r>
      <w:r>
        <w:rPr>
          <w:lang w:val="en-US"/>
        </w:rPr>
        <w:t xml:space="preserve"> </w:t>
      </w:r>
      <w:r>
        <w:rPr>
          <w:rFonts w:hint="eastAsia"/>
          <w:lang w:val="en-US"/>
        </w:rPr>
        <w:t>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《民用建筑绿色性能计算标准》</w:t>
      </w:r>
      <w:r>
        <w:rPr>
          <w:lang w:val="en-US"/>
        </w:rPr>
        <w:t>JGJ/T 449-2018</w:t>
      </w:r>
    </w:p>
    <w:p>
      <w:pPr>
        <w:pStyle w:val="2"/>
      </w:pPr>
      <w:r>
        <w:rPr>
          <w:rFonts w:hint="eastAsia"/>
        </w:rPr>
        <w:t>标准</w:t>
      </w:r>
      <w:r>
        <w:t>要求</w:t>
      </w:r>
    </w:p>
    <w:p>
      <w:pPr>
        <w:pStyle w:val="3"/>
        <w:ind w:firstLine="420" w:firstLineChars="200"/>
      </w:pPr>
      <w:r>
        <w:rPr>
          <w:rFonts w:hint="eastAsia"/>
        </w:rPr>
        <w:t>《绿色建筑评价标准》GB/T 50378第5.1.</w:t>
      </w:r>
      <w:r>
        <w:t>4</w:t>
      </w:r>
      <w:r>
        <w:rPr>
          <w:rFonts w:hint="eastAsia"/>
        </w:rPr>
        <w:t>条、第5.2.</w:t>
      </w:r>
      <w:r>
        <w:t>6</w:t>
      </w:r>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主要功能房间的室内噪声级和隔声性能应符合下列规定：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r>
        <w:rPr>
          <w:rFonts w:hint="eastAsia"/>
          <w:kern w:val="2"/>
        </w:rPr>
        <w:t>计算原理</w:t>
      </w:r>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r>
        <w:rPr>
          <w:rFonts w:hint="eastAsia"/>
        </w:rPr>
        <w:t>最不利</w:t>
      </w:r>
      <w:r>
        <w:t>房间确定</w:t>
      </w:r>
    </w:p>
    <w:p>
      <w:pPr>
        <w:pStyle w:val="3"/>
        <w:numPr>
          <w:ilvl w:val="0"/>
          <w:numId w:val="4"/>
        </w:numPr>
      </w:pPr>
      <w:bookmarkStart w:id="23" w:name="_Hlk498956250"/>
      <w:bookmarkStart w:id="24" w:name="_Toc438716944"/>
      <w:bookmarkStart w:id="25" w:name="_Toc441480676"/>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3"/>
    </w:p>
    <w:p>
      <w:pPr>
        <w:pStyle w:val="3"/>
        <w:numPr>
          <w:ilvl w:val="0"/>
          <w:numId w:val="4"/>
        </w:numPr>
      </w:pPr>
      <w:r>
        <w:t>也可以根据项目实际情况和经验常识自选最不利房间进行评价，如靠近交通要道的卧室、办公室等。</w:t>
      </w:r>
    </w:p>
    <w:p>
      <w:pPr>
        <w:pStyle w:val="4"/>
      </w:pPr>
      <w:r>
        <w:rPr>
          <w:rFonts w:hint="eastAsia"/>
        </w:rPr>
        <w:t>室内</w:t>
      </w:r>
      <w:r>
        <w:t>噪声级</w:t>
      </w:r>
      <w:r>
        <w:rPr>
          <w:rFonts w:hint="eastAsia"/>
        </w:rPr>
        <w:t>计算</w:t>
      </w:r>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r>
        <w:rPr>
          <w:rFonts w:hint="eastAsia"/>
          <w:kern w:val="2"/>
        </w:rPr>
        <w:t>计算</w:t>
      </w:r>
      <w:r>
        <w:rPr>
          <w:kern w:val="2"/>
        </w:rPr>
        <w:t>过程</w:t>
      </w:r>
    </w:p>
    <w:p>
      <w:pPr>
        <w:pStyle w:val="3"/>
        <w:ind w:firstLine="420"/>
        <w:rPr>
          <w:lang w:val="en-US"/>
        </w:rPr>
      </w:pPr>
      <w:r>
        <w:rPr>
          <w:rFonts w:hint="eastAsia"/>
          <w:lang w:val="en-US"/>
        </w:rPr>
        <w:t>本项目通过对整栋建筑的分析，确定了主要功能房间中噪声级最不利的房间为</w:t>
      </w:r>
      <w:bookmarkStart w:id="26" w:name="最不利房间编号2"/>
      <w:r>
        <w:rPr>
          <w:rFonts w:hint="eastAsia"/>
          <w:lang w:val="en-US"/>
        </w:rPr>
        <w:t>1001房间,房间类型[多人办公室]</w:t>
      </w:r>
      <w:bookmarkEnd w:id="26"/>
      <w:r>
        <w:rPr>
          <w:rFonts w:hint="eastAsia"/>
          <w:lang w:val="en-US"/>
        </w:rPr>
        <w:t>，报告书阐述该房间室内噪声级计算过程，房间情况如下图所示：</w:t>
      </w:r>
    </w:p>
    <w:p>
      <w:pPr>
        <w:jc w:val="center"/>
        <w:rPr>
          <w:lang w:val="en-US"/>
        </w:rPr>
      </w:pPr>
      <w:bookmarkStart w:id="27" w:name="最不利房间楼层平面图"/>
      <w:bookmarkEnd w:id="27"/>
      <w:r>
        <w:drawing>
          <wp:inline distT="0" distB="0" distL="0" distR="0">
            <wp:extent cx="4124325" cy="80105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9"/>
                    <a:stretch>
                      <a:fillRect/>
                    </a:stretch>
                  </pic:blipFill>
                  <pic:spPr>
                    <a:xfrm>
                      <a:off x="0" y="0"/>
                      <a:ext cx="4124325" cy="8010525"/>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r>
        <w:rPr>
          <w:rFonts w:hint="eastAsia"/>
        </w:rPr>
        <w:t>室外</w:t>
      </w:r>
      <w:r>
        <w:t>边界噪声</w:t>
      </w:r>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28" w:name="昼间边界噪声"/>
      <w:r>
        <w:t>55</w:t>
      </w:r>
      <w:bookmarkEnd w:id="28"/>
      <w:r>
        <w:rPr>
          <w:rFonts w:hint="eastAsia"/>
          <w:b/>
          <w:kern w:val="2"/>
          <w:lang w:val="en-US"/>
        </w:rPr>
        <w:t>dB</w:t>
      </w:r>
      <w:r>
        <w:rPr>
          <w:b/>
          <w:kern w:val="2"/>
          <w:lang w:val="en-US"/>
        </w:rPr>
        <w:t>(A)</w:t>
      </w:r>
      <w:r>
        <w:rPr>
          <w:rFonts w:hint="eastAsia"/>
          <w:b/>
          <w:kern w:val="2"/>
          <w:lang w:val="en-US"/>
        </w:rPr>
        <w:t>， 夜间为</w:t>
      </w:r>
      <w:bookmarkStart w:id="29" w:name="夜间边界噪声"/>
      <w:r>
        <w:t>45</w:t>
      </w:r>
      <w:bookmarkEnd w:id="29"/>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r>
        <w:t>构件空气声隔声</w:t>
      </w:r>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屋顶</w:t>
            </w:r>
          </w:p>
        </w:tc>
        <w:tc>
          <w:tcPr>
            <w:vAlign w:val="center"/>
          </w:tcPr>
          <w:p>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Merge w:val="restart"/>
            <w:vAlign w:val="center"/>
          </w:tcPr>
          <w:p>
            <w:pPr>
              <w:jc w:val="center"/>
            </w:pPr>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加气混凝土、泡沫混凝土(ρ=700)</w:t>
            </w:r>
          </w:p>
        </w:tc>
        <w:tc>
          <w:tcPr>
            <w:vAlign w:val="center"/>
          </w:tcPr>
          <w:p>
            <w:pPr>
              <w:jc w:val="center"/>
            </w:pPr>
            <w:r>
              <w:t>80</w:t>
            </w:r>
          </w:p>
        </w:tc>
        <w:tc>
          <w:tcPr>
            <w:vAlign w:val="center"/>
          </w:tcPr>
          <w:p>
            <w:pPr>
              <w:jc w:val="center"/>
            </w:pPr>
            <w:r>
              <w:t>700</w:t>
            </w:r>
          </w:p>
        </w:tc>
        <w:tc>
          <w:tcPr>
            <w:vAlign w:val="center"/>
          </w:tcPr>
          <w:p>
            <w:pPr>
              <w:jc w:val="center"/>
            </w:pPr>
            <w:r>
              <w:t>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楼板</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bl>
    <w:p>
      <w:pPr>
        <w:jc w:val="center"/>
        <w:rPr>
          <w:lang w:val="en-US"/>
        </w:rPr>
      </w:pPr>
      <w:bookmarkStart w:id="30" w:name="最不利房间围护结构材料清单"/>
      <w:bookmarkEnd w:id="30"/>
    </w:p>
    <w:p>
      <w:pPr>
        <w:pStyle w:val="3"/>
        <w:numPr>
          <w:ilvl w:val="0"/>
          <w:numId w:val="5"/>
        </w:numPr>
        <w:rPr>
          <w:color w:val="FF0000"/>
        </w:rPr>
      </w:pPr>
      <w:r>
        <w:rPr>
          <w:rFonts w:hint="eastAsia"/>
          <w:lang w:val="en-US"/>
        </w:rPr>
        <w:t>符合质量定律的构件，可按面密度m计算各频率下的空气声隔声量：</w:t>
      </w:r>
      <w:r>
        <w:rPr>
          <w:lang w:val="en-US"/>
        </w:rPr>
        <w:t xml:space="preserve">  </w:t>
      </w:r>
    </w:p>
    <w:p>
      <w:pPr>
        <w:pStyle w:val="3"/>
        <w:ind w:left="840"/>
      </w:pPr>
      <m:oMathPara>
        <m:oMath>
          <m:r>
            <m:rPr/>
            <w:rPr>
              <w:rFonts w:ascii="Cambria Math" w:hAnsi="Cambria Math"/>
            </w:rPr>
            <m:t>R=</m:t>
          </m:r>
          <w:bookmarkStart w:id="31" w:name="公式A1"/>
          <m:r>
            <m:rPr>
              <m:sty m:val="p"/>
            </m:rPr>
            <m:t>23</m:t>
          </m:r>
          <w:bookmarkEnd w:id="31"/>
          <m:r>
            <m:rPr/>
            <w:rPr>
              <w:rFonts w:ascii="Cambria Math" w:hAnsi="Cambria Math"/>
            </w:rPr>
            <m:t>lgm+</m:t>
          </m:r>
          <w:bookmarkStart w:id="32" w:name="公式B1"/>
          <m:r>
            <m:rPr>
              <m:sty m:val="p"/>
            </m:rPr>
            <m:t>11</m:t>
          </m:r>
          <w:bookmarkEnd w:id="32"/>
          <m:r>
            <m:rPr/>
            <w:rPr>
              <w:rFonts w:ascii="Cambria Math" w:hAnsi="Cambria Math"/>
            </w:rPr>
            <m:t>lgf</m:t>
          </m:r>
          <w:bookmarkStart w:id="33" w:name="公式C1"/>
          <m:r>
            <m:rPr>
              <m:sty m:val="p"/>
            </m:rPr>
            <m:t>−41</m:t>
          </m:r>
          <w:bookmarkEnd w:id="33"/>
          <m:r>
            <m:rPr/>
            <w:rPr>
              <w:rFonts w:ascii="Cambria Math" w:hAnsi="Cambria Math"/>
            </w:rPr>
            <m:t xml:space="preserve">            (m≥200kg/</m:t>
          </m:r>
          <m:r>
            <m:rPr/>
            <w:rPr>
              <w:rFonts w:hint="eastAsia" w:ascii="Cambria Math" w:hAnsi="Cambria Math"/>
            </w:rPr>
            <m:t>㎡）</m:t>
          </m:r>
        </m:oMath>
      </m:oMathPara>
    </w:p>
    <w:p>
      <w:pPr>
        <w:pStyle w:val="3"/>
        <w:ind w:left="840"/>
        <w:rPr>
          <w:color w:val="FF0000"/>
        </w:rPr>
      </w:pPr>
      <m:oMathPara>
        <m:oMath>
          <m:r>
            <m:rPr/>
            <w:rPr>
              <w:rFonts w:ascii="Cambria Math" w:hAnsi="Cambria Math"/>
            </w:rPr>
            <m:t>R=</m:t>
          </m:r>
          <w:bookmarkStart w:id="34" w:name="公式A2"/>
          <m:r>
            <m:rPr>
              <m:sty m:val="p"/>
            </m:rPr>
            <m:t>13</m:t>
          </m:r>
          <w:bookmarkEnd w:id="34"/>
          <m:r>
            <m:rPr/>
            <w:rPr>
              <w:rFonts w:ascii="Cambria Math" w:hAnsi="Cambria Math"/>
            </w:rPr>
            <m:t>lgm+</m:t>
          </m:r>
          <w:bookmarkStart w:id="35" w:name="公式B2"/>
          <m:r>
            <m:rPr>
              <m:sty m:val="p"/>
            </m:rPr>
            <m:t>11</m:t>
          </m:r>
          <w:bookmarkEnd w:id="35"/>
          <m:r>
            <m:rPr/>
            <w:rPr>
              <w:rFonts w:ascii="Cambria Math" w:hAnsi="Cambria Math"/>
            </w:rPr>
            <m:t>lgf</m:t>
          </m:r>
          <w:bookmarkStart w:id="36" w:name="公式C2"/>
          <m:r>
            <m:rPr>
              <m:sty m:val="p"/>
            </m:rPr>
            <m:t>−18</m:t>
          </m:r>
          <w:bookmarkEnd w:id="36"/>
          <m:r>
            <m:rPr/>
            <w:rPr>
              <w:rFonts w:ascii="Cambria Math" w:hAnsi="Cambria Math"/>
            </w:rPr>
            <m:t xml:space="preserve">            (m≤200kg/</m:t>
          </m:r>
          <m:r>
            <m:rPr/>
            <w:rPr>
              <w:rFonts w:hint="eastAsia" w:ascii="Cambria Math" w:hAnsi="Cambria Math"/>
            </w:rPr>
            <m:t>㎡）</m:t>
          </m:r>
        </m:oMath>
      </m:oMathPara>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p>
      <w:pPr>
        <w:jc w:val="center"/>
      </w:pPr>
      <w:bookmarkStart w:id="37" w:name="外墙隔声量"/>
      <w:bookmarkEnd w:id="37"/>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幕墙</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玻璃为（8+12A+8）中空玻璃，共190厚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检测数据</w:t>
            </w:r>
          </w:p>
        </w:tc>
      </w:tr>
    </w:tbl>
    <w:p>
      <w:pPr>
        <w:jc w:val="center"/>
        <w:rPr>
          <w:lang w:val="en-US"/>
        </w:rPr>
      </w:pPr>
      <w:bookmarkStart w:id="38" w:name="门窗隔声量"/>
      <w:bookmarkEnd w:id="38"/>
    </w:p>
    <w:p>
      <w:pPr>
        <w:pStyle w:val="4"/>
      </w:pPr>
      <w:r>
        <w:rPr>
          <w:rFonts w:hint="eastAsia"/>
        </w:rPr>
        <w:t>房间</w:t>
      </w:r>
      <w:r>
        <w:t>总吸声量计算</w:t>
      </w:r>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7.45pt;width:72.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6pt;width:16.15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6pt;width:16.1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2.1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679"/>
        <w:gridCol w:w="735"/>
        <w:gridCol w:w="735"/>
        <w:gridCol w:w="735"/>
        <w:gridCol w:w="735"/>
        <w:gridCol w:w="735"/>
        <w:gridCol w:w="35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47.6</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玻璃幕墙</w:t>
            </w:r>
          </w:p>
        </w:tc>
        <w:tc>
          <w:tcPr>
            <w:shd w:val="clear" w:color="auto" w:fill="E6E6E6"/>
            <w:vAlign w:val="center"/>
          </w:tcPr>
          <w:p>
            <w:r>
              <w:t>160.4</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内门(M1421)</w:t>
            </w:r>
          </w:p>
        </w:tc>
        <w:tc>
          <w:tcPr>
            <w:shd w:val="clear" w:color="auto" w:fill="E6E6E6"/>
            <w:vAlign w:val="center"/>
          </w:tcPr>
          <w:p>
            <w:r>
              <w:t>5.9</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楼板</w:t>
            </w:r>
          </w:p>
        </w:tc>
        <w:tc>
          <w:tcPr>
            <w:shd w:val="clear" w:color="auto" w:fill="E6E6E6"/>
            <w:vAlign w:val="center"/>
          </w:tcPr>
          <w:p>
            <w:r>
              <w:t>49.2</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213.2</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88.1</w:t>
            </w:r>
          </w:p>
        </w:tc>
        <w:tc>
          <w:tcPr>
            <w:vAlign w:val="center"/>
          </w:tcPr>
          <w:p>
            <w:r>
              <w:t>56.5</w:t>
            </w:r>
          </w:p>
        </w:tc>
        <w:tc>
          <w:tcPr>
            <w:vAlign w:val="center"/>
          </w:tcPr>
          <w:p>
            <w:r>
              <w:t>48.1</w:t>
            </w:r>
          </w:p>
        </w:tc>
        <w:tc>
          <w:tcPr>
            <w:vAlign w:val="center"/>
          </w:tcPr>
          <w:p>
            <w:r>
              <w:t>41.5</w:t>
            </w:r>
          </w:p>
        </w:tc>
        <w:tc>
          <w:tcPr>
            <w:vAlign w:val="center"/>
          </w:tcPr>
          <w:p>
            <w:r>
              <w:t>39.7</w:t>
            </w:r>
          </w:p>
        </w:tc>
        <w:tc>
          <w:tcPr>
            <w:vAlign w:val="center"/>
          </w:tcPr>
          <w:p/>
        </w:tc>
      </w:tr>
    </w:tbl>
    <w:p>
      <w:pPr>
        <w:jc w:val="center"/>
        <w:rPr>
          <w:lang w:val="en-US"/>
        </w:rPr>
      </w:pPr>
      <w:bookmarkStart w:id="39" w:name="围护结构吸声量"/>
      <w:bookmarkEnd w:id="39"/>
    </w:p>
    <w:p>
      <w:pPr>
        <w:pStyle w:val="4"/>
      </w:pPr>
      <w:r>
        <w:rPr>
          <w:rFonts w:hint="eastAsia"/>
        </w:rPr>
        <w:t>组合墙</w:t>
      </w:r>
      <w:r>
        <w:t>空气声隔声量计算</w:t>
      </w:r>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房间吸声、孔洞缝隙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r>
        <w:rPr>
          <w:rFonts w:hint="eastAsia"/>
        </w:rPr>
        <w:t>组合墙</w:t>
      </w:r>
      <w:r>
        <w:t>有效隔声量</w:t>
      </w:r>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6pt;width:14.4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6pt;width:16.1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6.15pt;width:14.4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6pt;width:16.15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r>
        <w:rPr>
          <w:rFonts w:hint="eastAsia"/>
        </w:rPr>
        <w:t>组合墙</w:t>
      </w:r>
      <w:r>
        <w:t>隔声单值评价量、频谱修正量</w:t>
      </w:r>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w:t>
      </w:r>
      <w:r>
        <w:rPr>
          <w:rFonts w:hint="eastAsia"/>
          <w:vertAlign w:val="subscript"/>
        </w:rPr>
        <w:t>i</w:t>
      </w:r>
      <w:r>
        <w:rPr>
          <w:rFonts w:hint="eastAsia"/>
        </w:rPr>
        <w:t>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15pt;width:16.15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15pt;width:12.1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4.4pt;width:12.1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w:t>
            </w:r>
            <w:r>
              <w:rPr>
                <w:rFonts w:hint="eastAsia"/>
                <w:vertAlign w:val="subscript"/>
              </w:rPr>
              <w:t>i</w:t>
            </w:r>
            <w:r>
              <w:rPr>
                <w:rFonts w:hint="eastAsia"/>
              </w:rPr>
              <w:t>（dB）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w:t>
            </w:r>
            <w:r>
              <w:rPr>
                <w:color w:val="000000"/>
                <w:sz w:val="18"/>
                <w:szCs w:val="18"/>
                <w:vertAlign w:val="subscript"/>
              </w:rPr>
              <w:t>tr</w:t>
            </w:r>
            <w:r>
              <w:rPr>
                <w:color w:val="000000"/>
                <w:sz w:val="18"/>
                <w:szCs w:val="18"/>
              </w:rPr>
              <w:t>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r>
        <w:rPr>
          <w:rFonts w:hint="eastAsia"/>
        </w:rPr>
        <w:t>缝隙对组合墙隔声量的影响</w:t>
      </w:r>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pt;width:14.4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9pt;width:14.4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r>
        <w:rPr>
          <w:rFonts w:hint="eastAsia"/>
        </w:rPr>
        <w:t>组合墙隔声量计算过程</w:t>
      </w:r>
    </w:p>
    <w:p>
      <w:pPr>
        <w:pStyle w:val="3"/>
        <w:ind w:firstLine="420" w:firstLineChars="200"/>
        <w:jc w:val="left"/>
      </w:pPr>
      <w:r>
        <w:t>本建筑最不利房间的情况如下图所示：</w:t>
      </w:r>
    </w:p>
    <w:p>
      <w:pPr>
        <w:jc w:val="center"/>
      </w:pPr>
      <w:bookmarkStart w:id="40" w:name="最不利房间平面图"/>
      <w:bookmarkEnd w:id="40"/>
      <w:r>
        <w:drawing>
          <wp:inline distT="0" distB="0" distL="0" distR="0">
            <wp:extent cx="5667375" cy="36385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45"/>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幕墙1(幕墙)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29.2</w:t>
            </w:r>
          </w:p>
        </w:tc>
        <w:tc>
          <w:tcPr>
            <w:vAlign w:val="center"/>
          </w:tcPr>
          <w:p>
            <w:r>
              <w:t>28.2</w:t>
            </w:r>
          </w:p>
        </w:tc>
        <w:tc>
          <w:tcPr>
            <w:vAlign w:val="center"/>
          </w:tcPr>
          <w:p>
            <w:r>
              <w:t>33.5</w:t>
            </w:r>
          </w:p>
        </w:tc>
        <w:tc>
          <w:tcPr>
            <w:vAlign w:val="center"/>
          </w:tcPr>
          <w:p>
            <w:r>
              <w:t>33.9</w:t>
            </w:r>
          </w:p>
        </w:tc>
        <w:tc>
          <w:tcPr>
            <w:vAlign w:val="center"/>
          </w:tcPr>
          <w:p>
            <w:r>
              <w:t>34.7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53.5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幕墙2(幕墙)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29.2</w:t>
            </w:r>
          </w:p>
        </w:tc>
        <w:tc>
          <w:tcPr>
            <w:vAlign w:val="center"/>
          </w:tcPr>
          <w:p>
            <w:r>
              <w:t>28.2</w:t>
            </w:r>
          </w:p>
        </w:tc>
        <w:tc>
          <w:tcPr>
            <w:vAlign w:val="center"/>
          </w:tcPr>
          <w:p>
            <w:r>
              <w:t>33.5</w:t>
            </w:r>
          </w:p>
        </w:tc>
        <w:tc>
          <w:tcPr>
            <w:vAlign w:val="center"/>
          </w:tcPr>
          <w:p>
            <w:r>
              <w:t>33.9</w:t>
            </w:r>
          </w:p>
        </w:tc>
        <w:tc>
          <w:tcPr>
            <w:vAlign w:val="center"/>
          </w:tcPr>
          <w:p>
            <w:r>
              <w:t>34.7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53.5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幕墙3(幕墙)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29.2</w:t>
            </w:r>
          </w:p>
        </w:tc>
        <w:tc>
          <w:tcPr>
            <w:vAlign w:val="center"/>
          </w:tcPr>
          <w:p>
            <w:r>
              <w:t>28.2</w:t>
            </w:r>
          </w:p>
        </w:tc>
        <w:tc>
          <w:tcPr>
            <w:vAlign w:val="center"/>
          </w:tcPr>
          <w:p>
            <w:r>
              <w:t>33.5</w:t>
            </w:r>
          </w:p>
        </w:tc>
        <w:tc>
          <w:tcPr>
            <w:vAlign w:val="center"/>
          </w:tcPr>
          <w:p>
            <w:r>
              <w:t>33.9</w:t>
            </w:r>
          </w:p>
        </w:tc>
        <w:tc>
          <w:tcPr>
            <w:vAlign w:val="center"/>
          </w:tcPr>
          <w:p>
            <w:r>
              <w:t>34.7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53.5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21</w:t>
            </w:r>
          </w:p>
        </w:tc>
      </w:tr>
    </w:tbl>
    <w:p>
      <w:pPr>
        <w:jc w:val="center"/>
        <w:rPr>
          <w:lang w:val="en-US"/>
        </w:rPr>
      </w:pPr>
      <w:bookmarkStart w:id="41" w:name="组合墙隔声量"/>
      <w:bookmarkEnd w:id="41"/>
    </w:p>
    <w:p>
      <w:pPr>
        <w:pStyle w:val="4"/>
      </w:pPr>
      <w:r>
        <w:rPr>
          <w:rFonts w:hint="eastAsia"/>
        </w:rPr>
        <w:t>室外环境噪声通过组合墙传到室内的噪声级计算</w:t>
      </w:r>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7.45pt;width:117.5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15pt;width:34.5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15pt;width:22.4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15pt;width:23.0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15pt;width:27.0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 xml:space="preserve"> </w:t>
      </w:r>
      <w:r>
        <w:t xml:space="preserve">               </w:t>
      </w:r>
      <w:r>
        <w:rPr>
          <w:rFonts w:hint="eastAsia"/>
        </w:rPr>
        <w:t>表</w:t>
      </w:r>
      <w:r>
        <w:t xml:space="preserve">5.8 </w:t>
      </w:r>
      <w:r>
        <w:rPr>
          <w:rFonts w:hint="eastAsia"/>
        </w:rPr>
        <w:t xml:space="preserve">室外环境噪声通过单面组合墙传到室内的噪声级 </w:t>
      </w:r>
      <w:r>
        <w:t xml:space="preserve">                     </w:t>
      </w:r>
      <w:r>
        <w:rPr>
          <w:rFonts w:hint="eastAsia"/>
          <w:kern w:val="2"/>
          <w:szCs w:val="21"/>
          <w:lang w:val="en-US"/>
        </w:rPr>
        <w:t>单位：dB（A）</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幕墙1(幕墙)</w:t>
            </w:r>
          </w:p>
        </w:tc>
        <w:tc>
          <w:tcPr>
            <w:vAlign w:val="center"/>
          </w:tcPr>
          <w:p>
            <w:r>
              <w:t>55</w:t>
            </w:r>
          </w:p>
        </w:tc>
        <w:tc>
          <w:tcPr>
            <w:vAlign w:val="center"/>
          </w:tcPr>
          <w:p>
            <w:r>
              <w:t>45</w:t>
            </w:r>
          </w:p>
        </w:tc>
        <w:tc>
          <w:tcPr>
            <w:vAlign w:val="center"/>
          </w:tcPr>
          <w:p>
            <w:r>
              <w:t>21</w:t>
            </w:r>
          </w:p>
        </w:tc>
        <w:tc>
          <w:tcPr>
            <w:vAlign w:val="center"/>
          </w:tcPr>
          <w:p>
            <w:r>
              <w:t>21</w:t>
            </w:r>
          </w:p>
        </w:tc>
        <w:tc>
          <w:tcPr>
            <w:vAlign w:val="center"/>
          </w:tcPr>
          <w:p>
            <w:r>
              <w:t>34</w:t>
            </w:r>
          </w:p>
        </w:tc>
        <w:tc>
          <w:tcPr>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幕墙2(幕墙)</w:t>
            </w:r>
          </w:p>
        </w:tc>
        <w:tc>
          <w:tcPr>
            <w:vAlign w:val="center"/>
          </w:tcPr>
          <w:p>
            <w:r>
              <w:t>55</w:t>
            </w:r>
          </w:p>
        </w:tc>
        <w:tc>
          <w:tcPr>
            <w:vAlign w:val="center"/>
          </w:tcPr>
          <w:p>
            <w:r>
              <w:t>45</w:t>
            </w:r>
          </w:p>
        </w:tc>
        <w:tc>
          <w:tcPr>
            <w:vAlign w:val="center"/>
          </w:tcPr>
          <w:p>
            <w:r>
              <w:t>21</w:t>
            </w:r>
          </w:p>
        </w:tc>
        <w:tc>
          <w:tcPr>
            <w:vAlign w:val="center"/>
          </w:tcPr>
          <w:p>
            <w:r>
              <w:t>21</w:t>
            </w:r>
          </w:p>
        </w:tc>
        <w:tc>
          <w:tcPr>
            <w:vAlign w:val="center"/>
          </w:tcPr>
          <w:p>
            <w:r>
              <w:t>34</w:t>
            </w:r>
          </w:p>
        </w:tc>
        <w:tc>
          <w:tcPr>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幕墙3(幕墙)</w:t>
            </w:r>
          </w:p>
        </w:tc>
        <w:tc>
          <w:tcPr>
            <w:vAlign w:val="center"/>
          </w:tcPr>
          <w:p>
            <w:r>
              <w:t>55</w:t>
            </w:r>
          </w:p>
        </w:tc>
        <w:tc>
          <w:tcPr>
            <w:vAlign w:val="center"/>
          </w:tcPr>
          <w:p>
            <w:r>
              <w:t>45</w:t>
            </w:r>
          </w:p>
        </w:tc>
        <w:tc>
          <w:tcPr>
            <w:vAlign w:val="center"/>
          </w:tcPr>
          <w:p>
            <w:r>
              <w:t>21</w:t>
            </w:r>
          </w:p>
        </w:tc>
        <w:tc>
          <w:tcPr>
            <w:vAlign w:val="center"/>
          </w:tcPr>
          <w:p>
            <w:r>
              <w:t>21</w:t>
            </w:r>
          </w:p>
        </w:tc>
        <w:tc>
          <w:tcPr>
            <w:vAlign w:val="center"/>
          </w:tcPr>
          <w:p>
            <w:r>
              <w:t>34</w:t>
            </w:r>
          </w:p>
        </w:tc>
        <w:tc>
          <w:tcPr>
            <w:vAlign w:val="center"/>
          </w:tcPr>
          <w:p>
            <w:r>
              <w:t>24</w:t>
            </w:r>
          </w:p>
        </w:tc>
      </w:tr>
    </w:tbl>
    <w:p>
      <w:pPr>
        <w:jc w:val="center"/>
      </w:pPr>
      <w:bookmarkStart w:id="42" w:name="组合墙传到室内噪声级"/>
      <w:bookmarkEnd w:id="42"/>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43" w:name="昼间室外传声"/>
      <w:r>
        <w:rPr>
          <w:rFonts w:hint="eastAsia"/>
          <w:bCs/>
          <w:lang w:val="en-US"/>
        </w:rPr>
        <w:t>39</w:t>
      </w:r>
      <w:bookmarkEnd w:id="43"/>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44" w:name="夜间室外传声"/>
      <w:r>
        <w:rPr>
          <w:rFonts w:hint="eastAsia"/>
          <w:bCs/>
          <w:lang w:val="en-US"/>
        </w:rPr>
        <w:t>29</w:t>
      </w:r>
      <w:bookmarkEnd w:id="44"/>
      <w:r>
        <w:rPr>
          <w:rFonts w:hint="eastAsia"/>
          <w:bCs/>
          <w:lang w:val="en-US"/>
        </w:rPr>
        <w:t xml:space="preserve"> </w:t>
      </w:r>
      <w:r>
        <w:rPr>
          <w:bCs/>
        </w:rPr>
        <w:t>dB</w:t>
      </w:r>
      <w:r>
        <w:rPr>
          <w:rFonts w:hint="eastAsia"/>
          <w:bCs/>
        </w:rPr>
        <w:t>（</w:t>
      </w:r>
      <w:r>
        <w:rPr>
          <w:bCs/>
        </w:rPr>
        <w:t>A</w:t>
      </w:r>
      <w:r>
        <w:rPr>
          <w:rFonts w:hint="eastAsia"/>
          <w:bCs/>
        </w:rPr>
        <w:t>）</w:t>
      </w:r>
    </w:p>
    <w:p>
      <w:pPr>
        <w:pStyle w:val="4"/>
      </w:pPr>
      <w:r>
        <w:rPr>
          <w:rFonts w:hint="eastAsia"/>
        </w:rPr>
        <w:t>室内声源的影响</w:t>
      </w:r>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15pt;width:16.1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839" w:leftChars="466" w:firstLine="120" w:firstLineChars="5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lang w:val="en-US"/>
        </w:rPr>
        <w:t xml:space="preserve">   </w:t>
      </w:r>
      <w:r>
        <w:rPr>
          <w:rFonts w:hint="eastAsia"/>
          <w:lang w:val="en-US"/>
        </w:rPr>
        <w:t xml:space="preserve"> </w:t>
      </w:r>
      <w:r>
        <w:rPr>
          <w:lang w:val="en-US"/>
        </w:rPr>
        <w:t xml:space="preserve">                            </w:t>
      </w:r>
      <w:r>
        <w:rPr>
          <w:rFonts w:hint="eastAsia"/>
          <w:lang w:val="en-US"/>
        </w:rPr>
        <w:t>表</w:t>
      </w:r>
      <w:r>
        <w:rPr>
          <w:lang w:val="en-US"/>
        </w:rPr>
        <w:t xml:space="preserve">5.9 </w:t>
      </w:r>
      <w:r>
        <w:rPr>
          <w:rFonts w:hint="eastAsia"/>
          <w:lang w:val="en-US"/>
        </w:rPr>
        <w:t xml:space="preserve">建筑内声源传到室内噪声级 </w:t>
      </w:r>
      <w:r>
        <w:rPr>
          <w:lang w:val="en-US"/>
        </w:rPr>
        <w:t xml:space="preserve">                      </w:t>
      </w:r>
      <w:r>
        <w:rPr>
          <w:rFonts w:hint="eastAsia"/>
          <w:kern w:val="2"/>
          <w:szCs w:val="21"/>
          <w:lang w:val="en-US"/>
        </w:rPr>
        <w:t>单位：dB（A）</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w:t>
            </w:r>
          </w:p>
        </w:tc>
        <w:tc>
          <w:tcPr>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w:t>
            </w:r>
          </w:p>
        </w:tc>
        <w:tc>
          <w:tcPr>
            <w:vAlign w:val="center"/>
          </w:tcPr>
          <w:p>
            <w:r>
              <w:t>--</w:t>
            </w:r>
          </w:p>
        </w:tc>
        <w:tc>
          <w:tcPr>
            <w:vAlign w:val="center"/>
          </w:tcPr>
          <w:p>
            <w:r>
              <w:t>34</w:t>
            </w:r>
          </w:p>
        </w:tc>
        <w:tc>
          <w:tcPr>
            <w:vAlign w:val="center"/>
          </w:tcPr>
          <w:p>
            <w:r>
              <w:t>9</w:t>
            </w:r>
          </w:p>
        </w:tc>
      </w:tr>
    </w:tbl>
    <w:p>
      <w:pPr>
        <w:jc w:val="center"/>
      </w:pPr>
      <w:bookmarkStart w:id="45" w:name="建筑内声源传声"/>
      <w:bookmarkEnd w:id="45"/>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r>
        <w:rPr>
          <w:rFonts w:hint="eastAsia"/>
        </w:rPr>
        <w:t>室内噪声级计算</w:t>
      </w:r>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15pt;width:16.15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15pt;width:27.0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15pt;width:16.15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7"/>
        <w:gridCol w:w="707"/>
        <w:gridCol w:w="707"/>
        <w:gridCol w:w="2150"/>
        <w:gridCol w:w="2150"/>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多人办公室</w:t>
            </w:r>
          </w:p>
        </w:tc>
        <w:tc>
          <w:tcPr>
            <w:vAlign w:val="center"/>
          </w:tcPr>
          <w:p>
            <w:pPr>
              <w:jc w:val="center"/>
            </w:pPr>
            <w:r>
              <w:t>40</w:t>
            </w:r>
          </w:p>
        </w:tc>
        <w:tc>
          <w:tcPr>
            <w:vAlign w:val="center"/>
          </w:tcPr>
          <w:p>
            <w:pPr>
              <w:jc w:val="center"/>
            </w:pPr>
            <w:r>
              <w:t>29</w:t>
            </w:r>
          </w:p>
        </w:tc>
        <w:tc>
          <w:tcPr>
            <w:vAlign w:val="center"/>
          </w:tcPr>
          <w:p>
            <w:pPr>
              <w:jc w:val="center"/>
            </w:pPr>
            <w:r>
              <w:t>低限:≤45,高要求:≤40</w:t>
            </w:r>
          </w:p>
        </w:tc>
        <w:tc>
          <w:tcPr>
            <w:vAlign w:val="center"/>
          </w:tcPr>
          <w:p>
            <w:pPr>
              <w:jc w:val="center"/>
            </w:pPr>
            <w:r>
              <w:t>--</w:t>
            </w:r>
          </w:p>
        </w:tc>
        <w:tc>
          <w:tcPr>
            <w:vAlign w:val="center"/>
          </w:tcPr>
          <w:p>
            <w:pPr>
              <w:jc w:val="center"/>
            </w:pPr>
            <w:r>
              <w:rPr>
                <w:b/>
              </w:rPr>
              <w:t>满足高要求</w:t>
            </w:r>
          </w:p>
        </w:tc>
      </w:tr>
    </w:tbl>
    <w:p>
      <w:pPr>
        <w:jc w:val="center"/>
      </w:pPr>
      <w:bookmarkStart w:id="46" w:name="最不利房间室内噪声级统计"/>
      <w:bookmarkEnd w:id="46"/>
    </w:p>
    <w:bookmarkEnd w:id="24"/>
    <w:bookmarkEnd w:id="25"/>
    <w:p>
      <w:pPr>
        <w:pStyle w:val="2"/>
        <w:rPr>
          <w:kern w:val="2"/>
        </w:rPr>
      </w:pPr>
      <w:r>
        <w:rPr>
          <w:rFonts w:hint="eastAsia"/>
          <w:kern w:val="2"/>
        </w:rPr>
        <w:t>结论</w:t>
      </w:r>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47" w:name="最不利房间编号"/>
      <w:r>
        <w:t>1001房间,房间类型[多人办公室]</w:t>
      </w:r>
      <w:bookmarkEnd w:id="47"/>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701" w:type="dxa"/>
            <w:vAlign w:val="center"/>
          </w:tcPr>
          <w:p>
            <w:pPr>
              <w:jc w:val="center"/>
              <w:rPr>
                <w:b/>
                <w:bCs/>
              </w:rPr>
            </w:pPr>
            <w:bookmarkStart w:id="48" w:name="室内噪声控制项结论"/>
            <w:r>
              <w:rPr>
                <w:b/>
                <w:bCs/>
              </w:rPr>
              <w:t>满足</w:t>
            </w:r>
            <w:bookmarkEnd w:id="48"/>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Cs/>
                <w:sz w:val="18"/>
                <w:szCs w:val="18"/>
              </w:rPr>
            </w:pPr>
            <w:r>
              <w:rPr>
                <w:rFonts w:hint="eastAsia"/>
                <w:bCs/>
                <w:sz w:val="18"/>
                <w:szCs w:val="18"/>
              </w:rPr>
              <w:t>评分项：</w:t>
            </w:r>
          </w:p>
          <w:p>
            <w:pPr>
              <w:pStyle w:val="3"/>
              <w:rPr>
                <w:bCs/>
                <w:sz w:val="18"/>
                <w:szCs w:val="18"/>
              </w:rPr>
            </w:pPr>
            <w:r>
              <w:rPr>
                <w:bCs/>
                <w:sz w:val="18"/>
                <w:szCs w:val="18"/>
              </w:rPr>
              <w:t>5.2.6  主要功能房间</w:t>
            </w:r>
            <w:r>
              <w:rPr>
                <w:rFonts w:hint="eastAsia"/>
                <w:bCs/>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rPr>
                <w:b/>
                <w:bCs/>
              </w:rPr>
            </w:pPr>
            <w:bookmarkStart w:id="49" w:name="室内噪声评分项结论"/>
            <w:r>
              <w:rPr>
                <w:b/>
                <w:bCs/>
              </w:rPr>
              <w:t>满足高要求</w:t>
            </w:r>
            <w:bookmarkEnd w:id="49"/>
          </w:p>
        </w:tc>
        <w:tc>
          <w:tcPr>
            <w:tcW w:w="724" w:type="dxa"/>
            <w:vAlign w:val="center"/>
          </w:tcPr>
          <w:p>
            <w:pPr>
              <w:jc w:val="center"/>
              <w:rPr>
                <w:b/>
                <w:bCs/>
              </w:rPr>
            </w:pPr>
            <w:bookmarkStart w:id="50" w:name="室内噪声得分"/>
            <w:r>
              <w:rPr>
                <w:b/>
                <w:bCs/>
              </w:rPr>
              <w:t>8</w:t>
            </w:r>
            <w:bookmarkEnd w:id="50"/>
            <w:r>
              <w:rPr>
                <w:rFonts w:hint="eastAsia"/>
                <w:b/>
                <w:bCs/>
              </w:rPr>
              <w:t>分</w:t>
            </w:r>
          </w:p>
        </w:tc>
      </w:tr>
    </w:tbl>
    <w:p>
      <w:pPr>
        <w:sectPr>
          <w:pgSz w:w="11906" w:h="16838"/>
          <w:pgMar w:top="1440" w:right="1418" w:bottom="1440" w:left="1418" w:header="851" w:footer="992" w:gutter="0"/>
          <w:cols w:space="425" w:num="1"/>
          <w:docGrid w:type="lines" w:linePitch="312" w:charSpace="0"/>
        </w:sectPr>
      </w:pPr>
    </w:p>
    <w:p>
      <w:pPr>
        <w:pStyle w:val="2"/>
        <w:spacing w:line="360" w:lineRule="auto"/>
        <w:ind w:firstLine="0" w:firstLineChars="0"/>
        <w:rPr>
          <w:rFonts w:ascii="宋体" w:hAnsi="宋体" w:eastAsia="宋体"/>
          <w:sz w:val="21"/>
          <w:szCs w:val="21"/>
        </w:rPr>
      </w:pPr>
      <w:r>
        <w:rPr>
          <w:rFonts w:ascii="宋体" w:hAnsi="宋体" w:eastAsia="宋体"/>
          <w:sz w:val="21"/>
          <w:szCs w:val="21"/>
        </w:rPr>
        <w:t>附录:建筑室内噪声</w:t>
      </w:r>
    </w:p>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多人办公室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1001</w:t>
            </w:r>
          </w:p>
        </w:tc>
        <w:tc>
          <w:tcPr>
            <w:vAlign w:val="center"/>
          </w:tcPr>
          <w:p>
            <w:pPr>
              <w:jc w:val="center"/>
            </w:pPr>
            <w:r>
              <w:rPr>
                <w:sz w:val="18"/>
                <w:szCs w:val="18"/>
              </w:rPr>
              <w:t>39</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sz w:val="18"/>
                <w:szCs w:val="18"/>
              </w:rPr>
              <w:t>34</w:t>
            </w:r>
          </w:p>
        </w:tc>
        <w:tc>
          <w:tcPr>
            <w:vAlign w:val="center"/>
          </w:tcPr>
          <w:p>
            <w:pPr>
              <w:jc w:val="center"/>
            </w:pPr>
            <w:r>
              <w:rPr>
                <w:sz w:val="18"/>
                <w:szCs w:val="18"/>
              </w:rPr>
              <w:t>--</w:t>
            </w:r>
          </w:p>
        </w:tc>
        <w:tc>
          <w:tcPr>
            <w:vAlign w:val="center"/>
          </w:tcPr>
          <w:p>
            <w:pPr>
              <w:jc w:val="center"/>
            </w:pPr>
            <w:r>
              <w:rPr>
                <w:b/>
                <w:sz w:val="18"/>
                <w:szCs w:val="18"/>
              </w:rPr>
              <w:t>40</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3003</w:t>
            </w:r>
          </w:p>
        </w:tc>
        <w:tc>
          <w:tcPr>
            <w:vAlign w:val="center"/>
          </w:tcPr>
          <w:p>
            <w:pPr>
              <w:jc w:val="center"/>
            </w:pPr>
            <w:r>
              <w:rPr>
                <w:sz w:val="18"/>
                <w:szCs w:val="18"/>
              </w:rPr>
              <w:t>39</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39</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1003</w:t>
            </w:r>
          </w:p>
        </w:tc>
        <w:tc>
          <w:tcPr>
            <w:vAlign w:val="center"/>
          </w:tcPr>
          <w:p>
            <w:pPr>
              <w:jc w:val="center"/>
            </w:pPr>
            <w:r>
              <w:rPr>
                <w:sz w:val="18"/>
                <w:szCs w:val="18"/>
              </w:rPr>
              <w:t>37</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sz w:val="18"/>
                <w:szCs w:val="18"/>
              </w:rPr>
              <w:t>32</w:t>
            </w:r>
          </w:p>
        </w:tc>
        <w:tc>
          <w:tcPr>
            <w:vAlign w:val="center"/>
          </w:tcPr>
          <w:p>
            <w:pPr>
              <w:jc w:val="center"/>
            </w:pPr>
            <w:r>
              <w:rPr>
                <w:sz w:val="18"/>
                <w:szCs w:val="18"/>
              </w:rPr>
              <w:t>--</w:t>
            </w:r>
          </w:p>
        </w:tc>
        <w:tc>
          <w:tcPr>
            <w:vAlign w:val="center"/>
          </w:tcPr>
          <w:p>
            <w:pPr>
              <w:jc w:val="center"/>
            </w:pPr>
            <w:r>
              <w:rPr>
                <w:b/>
                <w:sz w:val="18"/>
                <w:szCs w:val="18"/>
              </w:rPr>
              <w:t>38</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3001</w:t>
            </w:r>
          </w:p>
        </w:tc>
        <w:tc>
          <w:tcPr>
            <w:vAlign w:val="center"/>
          </w:tcPr>
          <w:p>
            <w:pPr>
              <w:jc w:val="center"/>
            </w:pPr>
            <w:r>
              <w:rPr>
                <w:sz w:val="18"/>
                <w:szCs w:val="18"/>
              </w:rPr>
              <w:t>25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sz w:val="18"/>
                <w:szCs w:val="18"/>
              </w:rPr>
              <w:t>12</w:t>
            </w:r>
          </w:p>
        </w:tc>
        <w:tc>
          <w:tcPr>
            <w:vAlign w:val="center"/>
          </w:tcPr>
          <w:p>
            <w:pPr>
              <w:jc w:val="center"/>
            </w:pPr>
            <w:r>
              <w:rPr>
                <w:sz w:val="18"/>
                <w:szCs w:val="18"/>
              </w:rPr>
              <w:t>--</w:t>
            </w:r>
          </w:p>
        </w:tc>
        <w:tc>
          <w:tcPr>
            <w:vAlign w:val="center"/>
          </w:tcPr>
          <w:p>
            <w:pPr>
              <w:jc w:val="center"/>
            </w:pPr>
            <w:r>
              <w:rPr>
                <w:b/>
                <w:sz w:val="18"/>
                <w:szCs w:val="18"/>
              </w:rPr>
              <w:t>25</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-1002</w:t>
            </w:r>
          </w:p>
        </w:tc>
        <w:tc>
          <w:tcPr>
            <w:vAlign w:val="center"/>
          </w:tcPr>
          <w:p>
            <w:pPr>
              <w:jc w:val="center"/>
            </w:pPr>
            <w:r>
              <w:rPr>
                <w:sz w:val="18"/>
                <w:szCs w:val="18"/>
              </w:rPr>
              <w:t>8</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sz w:val="18"/>
                <w:szCs w:val="18"/>
              </w:rPr>
              <w:t>15</w:t>
            </w:r>
          </w:p>
        </w:tc>
        <w:tc>
          <w:tcPr>
            <w:vAlign w:val="center"/>
          </w:tcPr>
          <w:p>
            <w:pPr>
              <w:jc w:val="center"/>
            </w:pPr>
            <w:r>
              <w:rPr>
                <w:sz w:val="18"/>
                <w:szCs w:val="18"/>
              </w:rPr>
              <w:t>--</w:t>
            </w:r>
          </w:p>
        </w:tc>
        <w:tc>
          <w:tcPr>
            <w:vAlign w:val="center"/>
          </w:tcPr>
          <w:p>
            <w:pPr>
              <w:jc w:val="center"/>
            </w:pPr>
            <w:r>
              <w:rPr>
                <w:b/>
                <w:sz w:val="18"/>
                <w:szCs w:val="18"/>
              </w:rPr>
              <w:t>16</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1012</w:t>
            </w:r>
          </w:p>
        </w:tc>
        <w:tc>
          <w:tcPr>
            <w:vAlign w:val="center"/>
          </w:tcPr>
          <w:p>
            <w:pPr>
              <w:jc w:val="center"/>
            </w:pPr>
            <w:r>
              <w:rPr>
                <w:sz w:val="18"/>
                <w:szCs w:val="18"/>
              </w:rPr>
              <w:t>＜5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sz w:val="18"/>
                <w:szCs w:val="18"/>
              </w:rPr>
              <w:t>12</w:t>
            </w:r>
          </w:p>
        </w:tc>
        <w:tc>
          <w:tcPr>
            <w:vAlign w:val="center"/>
          </w:tcPr>
          <w:p>
            <w:pPr>
              <w:jc w:val="center"/>
            </w:pPr>
            <w:r>
              <w:rPr>
                <w:sz w:val="18"/>
                <w:szCs w:val="18"/>
              </w:rPr>
              <w:t>--</w:t>
            </w:r>
          </w:p>
        </w:tc>
        <w:tc>
          <w:tcPr>
            <w:vAlign w:val="center"/>
          </w:tcPr>
          <w:p>
            <w:pPr>
              <w:jc w:val="center"/>
            </w:pPr>
            <w:r>
              <w:rPr>
                <w:b/>
                <w:sz w:val="18"/>
                <w:szCs w:val="18"/>
              </w:rPr>
              <w:t>12</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2005</w:t>
            </w:r>
          </w:p>
        </w:tc>
        <w:tc>
          <w:tcPr>
            <w:vAlign w:val="center"/>
          </w:tcPr>
          <w:p>
            <w:pPr>
              <w:jc w:val="center"/>
            </w:pPr>
            <w:r>
              <w:rPr>
                <w:sz w:val="18"/>
                <w:szCs w:val="18"/>
              </w:rPr>
              <w:t>11</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11</w:t>
            </w:r>
          </w:p>
        </w:tc>
        <w:tc>
          <w:tcPr>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p>
    <w:p>
      <w:pPr>
        <w:pStyle w:val="13"/>
        <w:spacing w:line="360" w:lineRule="auto"/>
        <w:ind w:firstLine="0" w:firstLineChars="0"/>
        <w:rPr>
          <w:rFonts w:ascii="宋体" w:hAnsi="宋体" w:eastAsia="宋体"/>
          <w:sz w:val="21"/>
          <w:szCs w:val="21"/>
        </w:rPr>
      </w:pPr>
      <w:r>
        <w:rPr>
          <w:rFonts w:ascii="宋体" w:hAnsi="宋体" w:eastAsia="宋体"/>
          <w:b/>
          <w:color w:val="000000"/>
          <w:sz w:val="21"/>
          <w:szCs w:val="21"/>
        </w:rPr>
        <w:t>单人办公室</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8"/>
        <w:gridCol w:w="707"/>
        <w:gridCol w:w="707"/>
        <w:gridCol w:w="707"/>
        <w:gridCol w:w="707"/>
        <w:gridCol w:w="848"/>
        <w:gridCol w:w="848"/>
        <w:gridCol w:w="673"/>
        <w:gridCol w:w="67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sz w:val="18"/>
                <w:szCs w:val="18"/>
              </w:rPr>
              <w:t>包含房间</w:t>
            </w:r>
          </w:p>
        </w:tc>
        <w:tc>
          <w:tcPr>
            <w:gridSpan w:val="2"/>
            <w:shd w:val="clear" w:color="auto" w:fill="E6E6E6"/>
            <w:vAlign w:val="center"/>
          </w:tcPr>
          <w:p>
            <w:pPr>
              <w:jc w:val="center"/>
            </w:pPr>
            <w:r>
              <w:rPr>
                <w:sz w:val="18"/>
                <w:szCs w:val="18"/>
              </w:rPr>
              <w:t>室外传到室内</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室内设备</w:t>
            </w:r>
            <w:r>
              <w:rPr>
                <w:sz w:val="18"/>
                <w:szCs w:val="18"/>
              </w:rPr>
              <w:br w:type="textWrapping"/>
            </w:r>
            <w:r>
              <w:rPr>
                <w:sz w:val="18"/>
                <w:szCs w:val="18"/>
              </w:rPr>
              <w:t>噪声级</w:t>
            </w:r>
          </w:p>
        </w:tc>
        <w:tc>
          <w:tcPr>
            <w:gridSpan w:val="2"/>
            <w:shd w:val="clear" w:color="auto" w:fill="E6E6E6"/>
            <w:vAlign w:val="center"/>
          </w:tcPr>
          <w:p>
            <w:pPr>
              <w:jc w:val="center"/>
            </w:pPr>
            <w:r>
              <w:rPr>
                <w:sz w:val="18"/>
                <w:szCs w:val="18"/>
              </w:rPr>
              <w:t>相邻房间设备</w:t>
            </w:r>
            <w:r>
              <w:rPr>
                <w:sz w:val="18"/>
                <w:szCs w:val="18"/>
              </w:rPr>
              <w:br w:type="textWrapping"/>
            </w:r>
            <w:r>
              <w:rPr>
                <w:sz w:val="18"/>
                <w:szCs w:val="18"/>
              </w:rPr>
              <w:t>传到室内噪声级</w:t>
            </w:r>
          </w:p>
        </w:tc>
        <w:tc>
          <w:tcPr>
            <w:gridSpan w:val="2"/>
            <w:shd w:val="clear" w:color="auto" w:fill="E6E6E6"/>
            <w:vAlign w:val="center"/>
          </w:tcPr>
          <w:p>
            <w:pPr>
              <w:jc w:val="center"/>
            </w:pPr>
            <w:r>
              <w:rPr>
                <w:sz w:val="18"/>
                <w:szCs w:val="18"/>
              </w:rPr>
              <w:t>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c>
          <w:tcPr>
            <w:shd w:val="clear" w:color="auto" w:fill="E6E6E6"/>
            <w:vAlign w:val="center"/>
          </w:tcPr>
          <w:p>
            <w:pPr>
              <w:jc w:val="center"/>
            </w:pPr>
            <w:r>
              <w:rPr>
                <w:sz w:val="18"/>
                <w:szCs w:val="18"/>
              </w:rPr>
              <w:t>昼间</w:t>
            </w:r>
          </w:p>
        </w:tc>
        <w:tc>
          <w:tcPr>
            <w:shd w:val="clear" w:color="auto" w:fill="E6E6E6"/>
            <w:vAlign w:val="center"/>
          </w:tcPr>
          <w:p>
            <w:pPr>
              <w:jc w:val="center"/>
            </w:pPr>
            <w:r>
              <w:rPr>
                <w:sz w:val="18"/>
                <w:szCs w:val="18"/>
              </w:rP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1008</w:t>
            </w:r>
          </w:p>
        </w:tc>
        <w:tc>
          <w:tcPr>
            <w:vAlign w:val="center"/>
          </w:tcPr>
          <w:p>
            <w:pPr>
              <w:jc w:val="center"/>
            </w:pPr>
            <w:r>
              <w:rPr>
                <w:sz w:val="18"/>
                <w:szCs w:val="18"/>
              </w:rPr>
              <w:t>35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35</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1013</w:t>
            </w:r>
          </w:p>
        </w:tc>
        <w:tc>
          <w:tcPr>
            <w:vAlign w:val="center"/>
          </w:tcPr>
          <w:p>
            <w:pPr>
              <w:jc w:val="center"/>
            </w:pPr>
            <w:r>
              <w:rPr>
                <w:sz w:val="18"/>
                <w:szCs w:val="18"/>
              </w:rPr>
              <w:t>＜5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sz w:val="18"/>
                <w:szCs w:val="18"/>
              </w:rPr>
              <w:t>15</w:t>
            </w:r>
          </w:p>
        </w:tc>
        <w:tc>
          <w:tcPr>
            <w:vAlign w:val="center"/>
          </w:tcPr>
          <w:p>
            <w:pPr>
              <w:jc w:val="center"/>
            </w:pPr>
            <w:r>
              <w:rPr>
                <w:sz w:val="18"/>
                <w:szCs w:val="18"/>
              </w:rPr>
              <w:t>--</w:t>
            </w:r>
          </w:p>
        </w:tc>
        <w:tc>
          <w:tcPr>
            <w:vAlign w:val="center"/>
          </w:tcPr>
          <w:p>
            <w:pPr>
              <w:jc w:val="center"/>
            </w:pPr>
            <w:r>
              <w:rPr>
                <w:b/>
                <w:sz w:val="18"/>
                <w:szCs w:val="18"/>
              </w:rPr>
              <w:t>15</w:t>
            </w:r>
          </w:p>
        </w:tc>
        <w:tc>
          <w:tcPr>
            <w:vAlign w:val="center"/>
          </w:tcPr>
          <w:p>
            <w:pPr>
              <w:jc w:val="cente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rPr>
                <w:sz w:val="18"/>
                <w:szCs w:val="18"/>
              </w:rPr>
              <w:t>1022</w:t>
            </w:r>
          </w:p>
        </w:tc>
        <w:tc>
          <w:tcPr>
            <w:vAlign w:val="center"/>
          </w:tcPr>
          <w:p>
            <w:pPr>
              <w:jc w:val="center"/>
            </w:pPr>
            <w:r>
              <w:rPr>
                <w:sz w:val="18"/>
                <w:szCs w:val="18"/>
              </w:rPr>
              <w:t>5</w:t>
            </w: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rPr>
                <w:sz w:val="18"/>
                <w:szCs w:val="18"/>
              </w:rPr>
            </w:pPr>
          </w:p>
        </w:tc>
        <w:tc>
          <w:tcPr>
            <w:vAlign w:val="center"/>
          </w:tcPr>
          <w:p>
            <w:pPr>
              <w:jc w:val="center"/>
            </w:pPr>
            <w:r>
              <w:rPr>
                <w:sz w:val="18"/>
                <w:szCs w:val="18"/>
              </w:rPr>
              <w:t>--</w:t>
            </w:r>
          </w:p>
        </w:tc>
        <w:tc>
          <w:tcPr>
            <w:vAlign w:val="center"/>
          </w:tcPr>
          <w:p>
            <w:pPr>
              <w:jc w:val="center"/>
            </w:pPr>
            <w:r>
              <w:rPr>
                <w:b/>
                <w:sz w:val="18"/>
                <w:szCs w:val="18"/>
              </w:rPr>
              <w:t>5</w:t>
            </w:r>
          </w:p>
        </w:tc>
        <w:tc>
          <w:tcPr>
            <w:vAlign w:val="center"/>
          </w:tcPr>
          <w:p>
            <w:pPr>
              <w:jc w:val="center"/>
            </w:pPr>
            <w:r>
              <w:rPr>
                <w:sz w:val="18"/>
                <w:szCs w:val="18"/>
              </w:rPr>
              <w:t>--</w:t>
            </w:r>
          </w:p>
        </w:tc>
      </w:tr>
    </w:tbl>
    <w:p>
      <w:pPr>
        <w:pStyle w:val="13"/>
        <w:spacing w:line="360" w:lineRule="auto"/>
        <w:ind w:firstLine="0" w:firstLineChars="0"/>
        <w:rPr>
          <w:rFonts w:ascii="宋体" w:hAnsi="宋体" w:eastAsia="宋体"/>
          <w:sz w:val="21"/>
          <w:szCs w:val="21"/>
        </w:rPr>
      </w:pPr>
    </w:p>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4"/>
        <w:color w:val="auto"/>
        <w:sz w:val="15"/>
        <w:szCs w:val="15"/>
        <w:u w:val="none"/>
      </w:rPr>
      <w:t>http://www.gbsware.cn/</w:t>
    </w:r>
    <w:r>
      <w:rPr>
        <w:rStyle w:val="24"/>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4</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6">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useFELayout/>
    <w:compatSetting w:name="compatibilityMode" w:uri="http://schemas.microsoft.com/office/word" w:val="12"/>
  </w:compat>
  <w:docVars>
    <w:docVar w:name="commondata" w:val="eyJoZGlkIjoiMzE2ZDI5MjM3MzQ3NTgwMTI0YWFmMzlkOTdjZDdjYTUifQ=="/>
  </w:docVars>
  <w:rsids>
    <w:rsidRoot w:val="00217F62"/>
    <w:rsid w:val="001915A3"/>
    <w:rsid w:val="00217F62"/>
    <w:rsid w:val="00A906D8"/>
    <w:rsid w:val="00AB5A74"/>
    <w:rsid w:val="00F071AE"/>
    <w:rsid w:val="550C1DA5"/>
    <w:rsid w:val="697A3D91"/>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5"/>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toc 2"/>
    <w:basedOn w:val="1"/>
    <w:next w:val="1"/>
    <w:semiHidden/>
    <w:qFormat/>
    <w:uiPriority w:val="0"/>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0"/>
    <w:rPr>
      <w:color w:val="0000FF"/>
      <w:u w:val="single"/>
    </w:rPr>
  </w:style>
  <w:style w:type="character" w:customStyle="1" w:styleId="25">
    <w:name w:val="正文文本缩进 字符"/>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字符"/>
    <w:link w:val="4"/>
    <w:qFormat/>
    <w:uiPriority w:val="0"/>
    <w:rPr>
      <w:rFonts w:ascii="微软雅黑" w:hAnsi="微软雅黑" w:eastAsia="微软雅黑" w:cs="微软雅黑"/>
      <w:b/>
      <w:bCs/>
      <w:iCs/>
      <w:color w:val="000000"/>
      <w:sz w:val="24"/>
      <w:szCs w:val="24"/>
    </w:rPr>
  </w:style>
  <w:style w:type="character" w:customStyle="1" w:styleId="30">
    <w:name w:val="标题 1 字符"/>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字符"/>
    <w:basedOn w:val="22"/>
    <w:link w:val="15"/>
    <w:qFormat/>
    <w:uiPriority w:val="0"/>
    <w:rPr>
      <w:sz w:val="18"/>
      <w:szCs w:val="18"/>
      <w:lang w:val="en-GB"/>
    </w:rPr>
  </w:style>
  <w:style w:type="character" w:customStyle="1" w:styleId="33">
    <w:name w:val="Subtle Reference"/>
    <w:basedOn w:val="22"/>
    <w:qFormat/>
    <w:uiPriority w:val="31"/>
    <w:rPr>
      <w:smallCaps/>
      <w:color w:val="595959" w:themeColor="text1" w:themeTint="A5"/>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23B627-31EA-4EFB-89AA-969750AAEB1A}">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最不利房间室内噪声设计报告书_环评版.dotx</Template>
  <Company>ths</Company>
  <Pages>9</Pages>
  <Words>912</Words>
  <Characters>5204</Characters>
  <Lines>43</Lines>
  <Paragraphs>12</Paragraphs>
  <TotalTime>214</TotalTime>
  <ScaleCrop>false</ScaleCrop>
  <LinksUpToDate>false</LinksUpToDate>
  <CharactersWithSpaces>6104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2020-11-11T07:55:00Z</dcterms:created>
  <dc:creator>yzx</dc:creator>
  <cp:lastModifiedBy>寒岩积雪</cp:lastModifiedBy>
  <cp:lastPrinted>1900-12-31T16:00:00Z</cp:lastPrinted>
  <dcterms:modified xsi:type="dcterms:W3CDTF">2023-12-25T13:10:41Z</dcterms:modified>
  <dc:title>最不利房间室内噪声设计报告书_环评版</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8AA23C71B0474359B4D267F9BCFBFC31_12</vt:lpwstr>
  </property>
</Properties>
</file>