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吉林省白山市临江市坡口村艺术家工作室建筑方案设计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白山</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2024年02月29日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hint="eastAsia" w:ascii="宋体" w:hAnsi="宋体"/>
          <w:lang w:val="en-US"/>
        </w:rPr>
      </w:pPr>
      <w:bookmarkStart w:id="7" w:name="二维码"/>
      <w:bookmarkEnd w:id="7"/>
      <w:r>
        <w:drawing>
          <wp:inline distT="0" distB="0" distL="0" distR="0">
            <wp:extent cx="1743075" cy="1743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"_Toc160125812"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_Toc160125812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"_Toc160125813"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_Toc160125813 \h </w:instrText>
      </w:r>
      <w:r>
        <w:fldChar w:fldCharType="separate"/>
      </w:r>
      <w:r>
        <w:t>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"_Toc160125814"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_Toc160125814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"_Toc160125815"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_Toc160125815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"_Toc160125816"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_Toc160125816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"_Toc160125817"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_Toc160125817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"_Toc160125818"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_Toc160125818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"_Toc160125819"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冬季工况风场计算域</w:t>
      </w:r>
      <w:r>
        <w:tab/>
      </w:r>
      <w:r>
        <w:fldChar w:fldCharType="begin"/>
      </w:r>
      <w:r>
        <w:instrText xml:space="preserve"> PAGEREF _Toc160125819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"_Toc160125820"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_Toc160125820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"_Toc160125821"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_Toc160125821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"_Toc160125822"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_Toc160125822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"_Toc160125823"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_Toc160125823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"_Toc160125824"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_Toc160125824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"_Toc160125825"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_Toc160125825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"_Toc160125826"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_Toc160125826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"_Toc160125827"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_Toc160125827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"_Toc160125828"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_Toc160125828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"_Toc160125829"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冬季工况</w:t>
      </w:r>
      <w:r>
        <w:tab/>
      </w:r>
      <w:r>
        <w:fldChar w:fldCharType="begin"/>
      </w:r>
      <w:r>
        <w:instrText xml:space="preserve"> PAGEREF _Toc160125829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"_Toc160125830"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人行区域风速达标分析</w:t>
      </w:r>
      <w:r>
        <w:tab/>
      </w:r>
      <w:r>
        <w:fldChar w:fldCharType="begin"/>
      </w:r>
      <w:r>
        <w:instrText xml:space="preserve"> PAGEREF _Toc160125830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"_Toc160125831"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人行区域风速放大系数达标分析</w:t>
      </w:r>
      <w:r>
        <w:tab/>
      </w:r>
      <w:r>
        <w:fldChar w:fldCharType="begin"/>
      </w:r>
      <w:r>
        <w:instrText xml:space="preserve"> PAGEREF _Toc160125831 \h </w:instrText>
      </w:r>
      <w:r>
        <w:fldChar w:fldCharType="separate"/>
      </w:r>
      <w:r>
        <w:t>15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"_Toc160125832"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户外休息区、儿童娱乐区域风速达标分析</w:t>
      </w:r>
      <w:r>
        <w:tab/>
      </w:r>
      <w:r>
        <w:fldChar w:fldCharType="begin"/>
      </w:r>
      <w:r>
        <w:instrText xml:space="preserve"> PAGEREF _Toc160125832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"_Toc160125833"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户外休息区、儿童娱乐区风速放大系数达标分析</w:t>
      </w:r>
      <w:r>
        <w:tab/>
      </w:r>
      <w:r>
        <w:fldChar w:fldCharType="begin"/>
      </w:r>
      <w:r>
        <w:instrText xml:space="preserve"> PAGEREF _Toc160125833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"_Toc160125834" </w:instrText>
      </w:r>
      <w:r>
        <w:fldChar w:fldCharType="separate"/>
      </w:r>
      <w:r>
        <w:rPr>
          <w:rStyle w:val="26"/>
          <w:lang w:val="en-GB"/>
        </w:rPr>
        <w:t>5.2.5</w:t>
      </w:r>
      <w:r>
        <w:rPr>
          <w:rFonts w:asciiTheme="minorHAnsi" w:hAnsiTheme="minorHAnsi" w:eastAsiaTheme="minorEastAsia" w:cstheme="minorBidi"/>
          <w:szCs w:val="22"/>
          <w14:ligatures w14:val="standardContextual"/>
        </w:rPr>
        <w:tab/>
      </w:r>
      <w:r>
        <w:rPr>
          <w:rStyle w:val="26"/>
        </w:rPr>
        <w:t>冬季工况风速/风速放大系数达标结果汇总</w:t>
      </w:r>
      <w:r>
        <w:tab/>
      </w:r>
      <w:r>
        <w:fldChar w:fldCharType="begin"/>
      </w:r>
      <w:r>
        <w:instrText xml:space="preserve"> PAGEREF _Toc160125834 \h </w:instrText>
      </w:r>
      <w:r>
        <w:fldChar w:fldCharType="separate"/>
      </w:r>
      <w:r>
        <w:t>17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"_Toc160125835" </w:instrText>
      </w:r>
      <w:r>
        <w:fldChar w:fldCharType="separate"/>
      </w:r>
      <w:r>
        <w:rPr>
          <w:rStyle w:val="26"/>
          <w:lang w:val="en-GB"/>
        </w:rPr>
        <w:t>5.2.6</w:t>
      </w:r>
      <w:r>
        <w:rPr>
          <w:rFonts w:asciiTheme="minorHAnsi" w:hAnsiTheme="minorHAnsi" w:eastAsiaTheme="minorEastAsia" w:cstheme="minorBidi"/>
          <w:szCs w:val="22"/>
          <w14:ligatures w14:val="standardContextual"/>
        </w:rPr>
        <w:tab/>
      </w:r>
      <w:r>
        <w:rPr>
          <w:rStyle w:val="26"/>
        </w:rPr>
        <w:t>建筑迎风面和背风面风压分析</w:t>
      </w:r>
      <w:r>
        <w:tab/>
      </w:r>
      <w:r>
        <w:fldChar w:fldCharType="begin"/>
      </w:r>
      <w:r>
        <w:instrText xml:space="preserve"> PAGEREF _Toc160125835 \h </w:instrText>
      </w:r>
      <w:r>
        <w:fldChar w:fldCharType="separate"/>
      </w:r>
      <w:r>
        <w:t>17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"_Toc160125836"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_Toc160125836 \h </w:instrText>
      </w:r>
      <w:r>
        <w:fldChar w:fldCharType="separate"/>
      </w:r>
      <w:r>
        <w:t>19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"_Toc160125837"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冬季工况达标判断</w:t>
      </w:r>
      <w:r>
        <w:tab/>
      </w:r>
      <w:r>
        <w:fldChar w:fldCharType="begin"/>
      </w:r>
      <w:r>
        <w:instrText xml:space="preserve"> PAGEREF _Toc160125837 \h </w:instrText>
      </w:r>
      <w:r>
        <w:fldChar w:fldCharType="separate"/>
      </w:r>
      <w:r>
        <w:t>19</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160125812"/>
      <w:bookmarkStart w:id="12" w:name="_Toc452108759"/>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60125813"/>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4766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452108761"/>
      <w:bookmarkStart w:id="19" w:name="_Toc160125814"/>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20"/>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486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160125815"/>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吉林《绿色建筑评价标准》DB22-T5045-2020</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160125816"/>
      <w:bookmarkStart w:id="27" w:name="_Toc452108763"/>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吉林《绿色建筑评价标准》DB22-T5045-2020</w:t>
      </w:r>
      <w:bookmarkEnd w:id="28"/>
      <w:r>
        <w:rPr>
          <w:rFonts w:hint="eastAsia"/>
          <w:lang w:val="en-US"/>
        </w:rPr>
        <w:t>中有关室外风环境的条目要求。具体要求如下：</w:t>
      </w:r>
    </w:p>
    <w:p>
      <w:pPr>
        <w:pStyle w:val="3"/>
        <w:ind w:firstLine="420"/>
        <w:rPr>
          <w:lang w:val="en-US"/>
        </w:rPr>
      </w:pPr>
      <w:bookmarkStart w:id="29" w:name="_Toc451698935"/>
      <w:bookmarkStart w:id="30" w:name="_Toc452108764"/>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160125817"/>
      <w:r>
        <w:rPr>
          <w:rFonts w:hint="eastAsia"/>
        </w:rPr>
        <w:t>计算原理</w:t>
      </w:r>
      <w:bookmarkEnd w:id="29"/>
      <w:bookmarkEnd w:id="30"/>
      <w:bookmarkEnd w:id="36"/>
    </w:p>
    <w:p>
      <w:pPr>
        <w:pStyle w:val="4"/>
        <w:numPr>
          <w:ilvl w:val="1"/>
          <w:numId w:val="3"/>
        </w:numPr>
      </w:pPr>
      <w:bookmarkStart w:id="37" w:name="_Toc160125818"/>
      <w:bookmarkStart w:id="38" w:name="_Toc509844740"/>
      <w:bookmarkStart w:id="39" w:name="_Toc451698937"/>
      <w:bookmarkStart w:id="40" w:name="_Toc452108765"/>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_Toc160125819"/>
      <w:r>
        <w:rPr>
          <w:rFonts w:hint="eastAsia"/>
        </w:rPr>
        <w:t>冬季工况风场计算域</w:t>
      </w:r>
      <w:bookmarkEnd w:id="4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2" w:name="季节2"/>
      <w:r>
        <w:rPr>
          <w:rFonts w:hint="eastAsia" w:ascii="黑体" w:hAnsi="黑体" w:eastAsia="黑体"/>
          <w:sz w:val="20"/>
          <w:szCs w:val="20"/>
        </w:rPr>
        <w:t>冬季</w:t>
      </w:r>
      <w:bookmarkEnd w:id="42"/>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X尺寸"/>
            <w:r>
              <w:t>407</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Y尺寸"/>
            <w:r>
              <w:t>425</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Z尺寸"/>
            <w:r>
              <w:t>113</w:t>
            </w:r>
            <w:bookmarkEnd w:id="45"/>
          </w:p>
        </w:tc>
      </w:tr>
    </w:tbl>
    <w:p>
      <w:pPr>
        <w:pStyle w:val="3"/>
        <w:ind w:firstLine="0" w:firstLineChars="0"/>
        <w:jc w:val="center"/>
        <w:rPr>
          <w:lang w:val="en-US"/>
        </w:rPr>
      </w:pPr>
      <w:bookmarkStart w:id="46" w:name="冬季工况风场计算域图示"/>
      <w:bookmarkEnd w:id="46"/>
      <w:r>
        <w:drawing>
          <wp:inline distT="0" distB="0" distL="0" distR="0">
            <wp:extent cx="5667375" cy="31242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7" w:name="季节3"/>
      <w:r>
        <w:rPr>
          <w:rFonts w:hint="eastAsia" w:ascii="黑体" w:hAnsi="黑体"/>
        </w:rPr>
        <w:t>冬季</w:t>
      </w:r>
      <w:bookmarkEnd w:id="47"/>
      <w:r>
        <w:rPr>
          <w:rFonts w:hint="eastAsia"/>
        </w:rPr>
        <w:t>工况风场计算域图示</w:t>
      </w:r>
      <w:r>
        <w:rPr>
          <w:rFonts w:hint="eastAsia"/>
          <w:szCs w:val="21"/>
          <w:lang w:val="en-US"/>
        </w:rPr>
        <w:t xml:space="preserve"> </w:t>
      </w:r>
    </w:p>
    <w:p>
      <w:pPr>
        <w:pStyle w:val="3"/>
        <w:ind w:firstLine="315" w:firstLineChars="150"/>
        <w:rPr>
          <w:lang w:val="en-US"/>
        </w:rPr>
      </w:pPr>
      <w:bookmarkStart w:id="48" w:name="计算域"/>
      <w:bookmarkEnd w:id="48"/>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9" w:name="_Toc509844741"/>
      <w:bookmarkStart w:id="50" w:name="_Toc160125820"/>
      <w:r>
        <w:rPr>
          <w:rFonts w:hint="eastAsia"/>
        </w:rPr>
        <w:t>网格划分</w:t>
      </w:r>
      <w:bookmarkEnd w:id="49"/>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52" w:name="季节1"/>
      <w:r>
        <w:rPr>
          <w:rFonts w:hint="eastAsia" w:ascii="黑体" w:hAnsi="黑体"/>
        </w:rPr>
        <w:t>冬季</w:t>
      </w:r>
      <w:bookmarkEnd w:id="52"/>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bookmarkStart w:id="53" w:name="冬季网格总数"/>
            <w:r>
              <w:t>336464</w:t>
            </w:r>
            <w:bookmarkEnd w:id="53"/>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分弧精度"/>
            <w:r>
              <w:t>0.24</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最大网格尺寸"/>
            <w:r>
              <w:t>16.0</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最小网格尺寸"/>
            <w:r>
              <w:t>4.0</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建筑表面细分层厚度"/>
            <w:r>
              <w:t>4.0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远场网格尺寸"/>
            <w:r>
              <w:t>8.0</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近场网格尺寸"/>
            <w:r>
              <w:t>4.0</w:t>
            </w:r>
            <w:bookmarkEnd w:id="59"/>
          </w:p>
        </w:tc>
      </w:tr>
    </w:tbl>
    <w:p>
      <w:pPr>
        <w:rPr>
          <w:szCs w:val="21"/>
          <w:lang w:val="en-US"/>
        </w:rPr>
      </w:pPr>
    </w:p>
    <w:p>
      <w:pPr>
        <w:jc w:val="center"/>
      </w:pPr>
      <w:r>
        <w:drawing>
          <wp:inline distT="0" distB="0" distL="0" distR="0">
            <wp:extent cx="5667375" cy="33718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371850"/>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0" w:name="季节"/>
      <w:r>
        <w:rPr>
          <w:rFonts w:hint="eastAsia" w:ascii="黑体" w:hAnsi="黑体" w:eastAsia="黑体"/>
          <w:sz w:val="20"/>
        </w:rPr>
        <w:t>冬季</w:t>
      </w:r>
      <w:bookmarkEnd w:id="60"/>
    </w:p>
    <w:p>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62" w:name="网格图"/>
      <w:bookmarkEnd w:id="62"/>
    </w:p>
    <w:p>
      <w:pPr>
        <w:pStyle w:val="4"/>
        <w:numPr>
          <w:ilvl w:val="1"/>
          <w:numId w:val="3"/>
        </w:numPr>
      </w:pPr>
      <w:bookmarkStart w:id="63" w:name="_Toc509844742"/>
      <w:bookmarkStart w:id="64" w:name="_Toc160125821"/>
      <w:r>
        <w:rPr>
          <w:rFonts w:hint="eastAsia"/>
        </w:rPr>
        <w:t>边界条件</w:t>
      </w:r>
      <w:bookmarkEnd w:id="63"/>
      <w:bookmarkEnd w:id="6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5" w:name="_Toc509844743"/>
      <w:bookmarkStart w:id="66" w:name="_Toc160125822"/>
      <w:r>
        <w:rPr>
          <w:rFonts w:hint="eastAsia"/>
        </w:rPr>
        <w:t>入口与出口边界条件</w:t>
      </w:r>
      <w:bookmarkEnd w:id="65"/>
      <w:bookmarkEnd w:id="6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0.2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6pt;width:13.8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7" w:name="地面粗糙度指数2"/>
      <w:r>
        <w:rPr>
          <w:rFonts w:hint="eastAsia"/>
          <w:lang w:val="en-US"/>
        </w:rPr>
        <w:t>0.22</w:t>
      </w:r>
      <w:bookmarkEnd w:id="6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8" w:name="_Toc160125823"/>
      <w:bookmarkStart w:id="69" w:name="_Toc509844744"/>
      <w:r>
        <w:rPr>
          <w:rFonts w:hint="eastAsia"/>
        </w:rPr>
        <w:t>壁面边界条件</w:t>
      </w:r>
      <w:bookmarkEnd w:id="68"/>
      <w:bookmarkEnd w:id="6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0" w:name="_Toc160125824"/>
      <w:r>
        <w:rPr>
          <w:rFonts w:hint="eastAsia"/>
        </w:rPr>
        <w:t>湍流模型</w:t>
      </w:r>
      <w:bookmarkEnd w:id="39"/>
      <w:bookmarkEnd w:id="40"/>
      <w:bookmarkEnd w:id="7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1" w:name="_Toc451698939"/>
      <w:bookmarkStart w:id="72" w:name="_Toc452108767"/>
      <w:bookmarkStart w:id="73" w:name="_Toc160125825"/>
      <w:r>
        <w:rPr>
          <w:rFonts w:hint="eastAsia"/>
        </w:rPr>
        <w:t>求解计算</w:t>
      </w:r>
      <w:bookmarkEnd w:id="71"/>
      <w:bookmarkEnd w:id="72"/>
      <w:bookmarkEnd w:id="73"/>
    </w:p>
    <w:p>
      <w:pPr>
        <w:pStyle w:val="3"/>
        <w:numPr>
          <w:ilvl w:val="0"/>
          <w:numId w:val="5"/>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4"/>
      <w:r>
        <w:rPr>
          <w:rFonts w:hint="eastAsia" w:ascii="黑体" w:hAnsi="黑体" w:eastAsia="黑体"/>
          <w:sz w:val="20"/>
          <w:szCs w:val="20"/>
        </w:rPr>
        <w:t xml:space="preserve"> </w:t>
      </w:r>
      <w:bookmarkStart w:id="75" w:name="_Ref225175618"/>
      <w:r>
        <w:rPr>
          <w:rFonts w:hint="eastAsia" w:ascii="黑体" w:hAnsi="黑体" w:eastAsia="黑体"/>
          <w:sz w:val="20"/>
          <w:szCs w:val="20"/>
        </w:rPr>
        <w:t>计算流体力学的控制方程</w:t>
      </w:r>
      <w:bookmarkEnd w:id="7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5"/>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pPr>
        <w:pStyle w:val="4"/>
      </w:pPr>
      <w:bookmarkStart w:id="76" w:name="_Toc160125826"/>
      <w:bookmarkStart w:id="77" w:name="_Toc509844747"/>
      <w:r>
        <w:rPr>
          <w:rFonts w:hint="eastAsia"/>
        </w:rPr>
        <w:t>风速放大系数计算</w:t>
      </w:r>
      <w:bookmarkEnd w:id="76"/>
      <w:bookmarkEnd w:id="7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8pt;width:13.2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4pt;width:24.6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pt;width:24.6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pt;width:21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0.22</w:t>
      </w:r>
      <w:bookmarkEnd w:id="7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9" w:name="_Toc160125827"/>
      <w:bookmarkStart w:id="80" w:name="_Toc452108768"/>
      <w:r>
        <w:rPr>
          <w:rFonts w:hint="eastAsia"/>
        </w:rPr>
        <w:t>结果</w:t>
      </w:r>
      <w:r>
        <w:t>分析</w:t>
      </w:r>
      <w:bookmarkEnd w:id="79"/>
      <w:bookmarkEnd w:id="80"/>
    </w:p>
    <w:p>
      <w:pPr>
        <w:pStyle w:val="4"/>
        <w:rPr>
          <w:szCs w:val="21"/>
        </w:rPr>
      </w:pPr>
      <w:bookmarkStart w:id="81" w:name="_Toc160125828"/>
      <w:r>
        <w:rPr>
          <w:rFonts w:hint="eastAsia"/>
          <w:szCs w:val="21"/>
        </w:rPr>
        <w:t>工况</w:t>
      </w:r>
      <w:r>
        <w:rPr>
          <w:szCs w:val="21"/>
        </w:rPr>
        <w:t>表</w:t>
      </w:r>
      <w:bookmarkEnd w:id="8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1.60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67.5</w:t>
            </w:r>
          </w:p>
        </w:tc>
      </w:tr>
      <w:bookmarkEnd w:id="8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3" w:name="_Toc160125829"/>
      <w:bookmarkStart w:id="84" w:name="_Toc509844750"/>
      <w:r>
        <w:rPr>
          <w:rFonts w:hint="eastAsia"/>
        </w:rPr>
        <w:t>冬季工况</w:t>
      </w:r>
      <w:bookmarkEnd w:id="83"/>
      <w:bookmarkEnd w:id="84"/>
    </w:p>
    <w:p>
      <w:pPr>
        <w:ind w:firstLine="420" w:firstLineChars="200"/>
        <w:jc w:val="both"/>
      </w:pPr>
      <w:r>
        <w:rPr>
          <w:rFonts w:hint="eastAsia"/>
          <w:lang w:val="en-US"/>
        </w:rPr>
        <w:t>本项目冬季工况的入口边界风速为</w:t>
      </w:r>
      <w:bookmarkStart w:id="85" w:name="冬季入口边界风速"/>
      <w:r>
        <w:rPr>
          <w:rFonts w:hint="eastAsia" w:ascii="Calibri" w:hAnsi="Calibri"/>
          <w:szCs w:val="21"/>
        </w:rPr>
        <w:t>1.60</w:t>
      </w:r>
      <w:bookmarkEnd w:id="85"/>
      <w:r>
        <w:rPr>
          <w:rFonts w:ascii="Calibri" w:hAnsi="Calibri"/>
          <w:szCs w:val="21"/>
        </w:rPr>
        <w:t>m/s</w:t>
      </w:r>
      <w:r>
        <w:rPr>
          <w:rFonts w:hint="eastAsia" w:ascii="Calibri" w:hAnsi="Calibri"/>
          <w:szCs w:val="21"/>
        </w:rPr>
        <w:t>，风向为</w:t>
      </w:r>
      <w:bookmarkStart w:id="86" w:name="冬季入口边界风向"/>
      <w:r>
        <w:rPr>
          <w:szCs w:val="21"/>
        </w:rPr>
        <w:t>NNE</w:t>
      </w:r>
      <w:bookmarkEnd w:id="86"/>
      <w:r>
        <w:rPr>
          <w:rFonts w:hint="eastAsia"/>
          <w:szCs w:val="21"/>
        </w:rPr>
        <w:t>。</w:t>
      </w:r>
    </w:p>
    <w:p>
      <w:pPr>
        <w:pStyle w:val="5"/>
      </w:pPr>
      <w:bookmarkStart w:id="87" w:name="_Toc160125830"/>
      <w:bookmarkStart w:id="88" w:name="_Toc509844751"/>
      <w:r>
        <w:rPr>
          <w:rFonts w:hint="eastAsia"/>
        </w:rPr>
        <w:t>人行区域风速达标分析</w:t>
      </w:r>
      <w:bookmarkEnd w:id="87"/>
      <w:bookmarkEnd w:id="88"/>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9" w:name="冬季工况人行区风速分析结论"/>
      <w:bookmarkEnd w:id="89"/>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0" w:name="冬季工况人行区风速云图"/>
      <w:bookmarkEnd w:id="90"/>
      <w:r>
        <w:drawing>
          <wp:inline distT="0" distB="0" distL="0" distR="0">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29146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1" w:name="_Toc160125831"/>
      <w:bookmarkStart w:id="92" w:name="_Toc509844752"/>
      <w:r>
        <w:rPr>
          <w:rFonts w:hint="eastAsia"/>
        </w:rPr>
        <w:t>人行区域风速放大系数达标分析</w:t>
      </w:r>
      <w:bookmarkEnd w:id="91"/>
      <w:bookmarkEnd w:id="92"/>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3" w:name="冬季工况人行区风速放大系数分析结论"/>
      <w:bookmarkEnd w:id="93"/>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4" w:name="冬季工况人行区风速放大系数云图"/>
      <w:bookmarkEnd w:id="94"/>
      <w:r>
        <w:drawing>
          <wp:inline distT="0" distB="0" distL="0" distR="0">
            <wp:extent cx="5667375" cy="2857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5" w:name="_Toc160125832"/>
      <w:r>
        <w:rPr>
          <w:rFonts w:hint="eastAsia"/>
        </w:rPr>
        <w:t>户外休息区、儿童娱乐区</w:t>
      </w:r>
      <w:r>
        <w:t>域风速达标分析</w:t>
      </w:r>
      <w:bookmarkEnd w:id="95"/>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6" w:name="冬季工况休息区风速分析结论"/>
      <w:bookmarkEnd w:id="96"/>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7" w:name="冬季工况休息区风速云图"/>
      <w:bookmarkEnd w:id="97"/>
      <w:r>
        <w:drawing>
          <wp:inline distT="0" distB="0" distL="0" distR="0">
            <wp:extent cx="5667375" cy="2914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29146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8" w:name="_Toc160125833"/>
      <w:r>
        <w:rPr>
          <w:rFonts w:hint="eastAsia"/>
        </w:rPr>
        <w:t>户外休息区、儿童娱乐区风速放大系数达标</w:t>
      </w:r>
      <w:r>
        <w:t>分析</w:t>
      </w:r>
      <w:bookmarkEnd w:id="98"/>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9" w:name="冬季工况户外休息区和儿童娱乐区风速放大系数分析结论"/>
      <w:bookmarkEnd w:id="99"/>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100" w:name="冬季工况户外休息区和儿童娱乐区风速放大系数云图"/>
      <w:bookmarkEnd w:id="100"/>
      <w:r>
        <w:drawing>
          <wp:inline distT="0" distB="0" distL="0" distR="0">
            <wp:extent cx="5667375" cy="2857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2857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1" w:name="_Toc509844753"/>
      <w:bookmarkStart w:id="102" w:name="_Toc160125834"/>
      <w:r>
        <w:rPr>
          <w:rFonts w:hint="eastAsia"/>
        </w:rPr>
        <w:t>冬季工况风速/风速放大系数达标</w:t>
      </w:r>
      <w:bookmarkEnd w:id="101"/>
      <w:r>
        <w:rPr>
          <w:rFonts w:hint="eastAsia"/>
        </w:rPr>
        <w:t>结果汇总</w:t>
      </w:r>
      <w:bookmarkEnd w:id="102"/>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3" w:name="冬季工况风速是否有超限区域"/>
            <w:r>
              <w:rPr>
                <w:rFonts w:hint="eastAsia" w:ascii="宋体" w:hAnsi="宋体" w:cs="宋体"/>
                <w:color w:val="000000"/>
                <w:sz w:val="22"/>
                <w:szCs w:val="22"/>
                <w:lang w:val="en-US"/>
              </w:rPr>
              <w:t>否</w:t>
            </w:r>
            <w:bookmarkEnd w:id="103"/>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4" w:name="冬季工况风速达标判断"/>
            <w:r>
              <w:rPr>
                <w:rFonts w:hint="eastAsia" w:ascii="宋体" w:hAnsi="宋体" w:cs="宋体"/>
                <w:color w:val="000000"/>
                <w:sz w:val="22"/>
                <w:szCs w:val="22"/>
                <w:lang w:val="en-US"/>
              </w:rPr>
              <w:t>是</w:t>
            </w:r>
            <w:bookmarkEnd w:id="104"/>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5" w:name="冬季工况风速放大系数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6" w:name="冬季工况风速放大系数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休息区风速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休息区风速达标判断"/>
            <w:r>
              <w:rPr>
                <w:rFonts w:hint="eastAsia" w:ascii="宋体" w:hAnsi="宋体" w:cs="宋体"/>
                <w:color w:val="000000"/>
                <w:sz w:val="22"/>
                <w:szCs w:val="22"/>
                <w:lang w:val="en-US"/>
              </w:rPr>
              <w:t>是</w:t>
            </w:r>
            <w:bookmarkEnd w:id="108"/>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9" w:name="冬季工况休息区和儿童娱乐区风速放大系数标准要求限值"/>
            <w:r>
              <w:rPr>
                <w:rFonts w:ascii="宋体" w:hAnsi="宋体" w:cs="宋体"/>
                <w:szCs w:val="21"/>
              </w:rPr>
              <w:t>2</w:t>
            </w:r>
            <w:bookmarkEnd w:id="109"/>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0" w:name="冬季工况户外休息区风速放大系数是否有超限区域"/>
            <w:r>
              <w:rPr>
                <w:rFonts w:hint="eastAsia" w:ascii="宋体" w:hAnsi="宋体" w:cs="宋体"/>
                <w:color w:val="000000"/>
                <w:sz w:val="22"/>
                <w:szCs w:val="22"/>
                <w:lang w:val="en-US"/>
              </w:rPr>
              <w:t>否</w:t>
            </w:r>
            <w:bookmarkEnd w:id="110"/>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1" w:name="冬季工况户外休息区风速放大系数达标判断"/>
            <w:r>
              <w:rPr>
                <w:rFonts w:hint="eastAsia" w:ascii="宋体" w:hAnsi="宋体" w:cs="宋体"/>
                <w:color w:val="000000"/>
                <w:sz w:val="22"/>
                <w:szCs w:val="22"/>
                <w:lang w:val="en-US"/>
              </w:rPr>
              <w:t>是</w:t>
            </w:r>
            <w:bookmarkEnd w:id="111"/>
          </w:p>
        </w:tc>
      </w:tr>
    </w:tbl>
    <w:p/>
    <w:p>
      <w:pPr>
        <w:pStyle w:val="5"/>
      </w:pPr>
      <w:bookmarkStart w:id="112" w:name="_Toc160125835"/>
      <w:r>
        <w:rPr>
          <w:rFonts w:hint="eastAsia"/>
        </w:rPr>
        <w:t>建筑迎风面和背风面风压分析</w:t>
      </w:r>
      <w:bookmarkEnd w:id="112"/>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3" w:name="冬季工况建筑迎风面风压云图"/>
      <w:bookmarkEnd w:id="113"/>
      <w:bookmarkStart w:id="145" w:name="_GoBack"/>
      <w:r>
        <w:drawing>
          <wp:inline distT="0" distB="0" distL="0" distR="0">
            <wp:extent cx="5667375" cy="3105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5"/>
                    <a:stretch>
                      <a:fillRect/>
                    </a:stretch>
                  </pic:blipFill>
                  <pic:spPr>
                    <a:xfrm>
                      <a:off x="0" y="0"/>
                      <a:ext cx="5667375" cy="3105150"/>
                    </a:xfrm>
                    <a:prstGeom prst="rect">
                      <a:avLst/>
                    </a:prstGeom>
                  </pic:spPr>
                </pic:pic>
              </a:graphicData>
            </a:graphic>
          </wp:inline>
        </w:drawing>
      </w:r>
      <w:bookmarkEnd w:id="14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4" w:name="冬季工况建筑背风面风压云图"/>
      <w:bookmarkEnd w:id="114"/>
      <w:r>
        <w:drawing>
          <wp:inline distT="0" distB="0" distL="0" distR="0">
            <wp:extent cx="5667375" cy="3143250"/>
            <wp:effectExtent l="0" t="0" r="9525"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6"/>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5"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6" w:name="建筑迎背风面风压差表_建筑名"/>
      <w:r>
        <w:rPr>
          <w:rFonts w:ascii="Cambria" w:hAnsi="Cambria" w:eastAsia="黑体"/>
          <w:sz w:val="20"/>
        </w:rPr>
        <w:t>01</w:t>
      </w:r>
      <w:bookmarkEnd w:id="116"/>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0.28</w:t>
            </w:r>
          </w:p>
        </w:tc>
      </w:tr>
    </w:tbl>
    <w:p>
      <w:bookmarkStart w:id="117" w:name="结论"/>
      <w:bookmarkEnd w:id="117"/>
      <w:r>
        <w:t>结论：迎风第一排建筑，</w:t>
      </w:r>
      <w:r>
        <w:rPr>
          <w:b/>
          <w:color w:val="00FF00"/>
        </w:rPr>
        <w:t>标准未做要求</w:t>
      </w:r>
      <w:r>
        <w:t>。</w:t>
      </w:r>
    </w:p>
    <w:bookmarkEnd w:id="115"/>
    <w:p>
      <w:pPr>
        <w:jc w:val="center"/>
        <w:rPr>
          <w:rFonts w:ascii="Cambria" w:hAnsi="Cambria" w:eastAsia="黑体"/>
          <w:sz w:val="20"/>
        </w:rPr>
      </w:pPr>
      <w:bookmarkStart w:id="118" w:name="建筑迎背风面风压差表_新增"/>
      <w:bookmarkEnd w:id="118"/>
      <w:bookmarkStart w:id="119" w:name="建筑迎背风面风压差表"/>
    </w:p>
    <w:bookmarkEnd w:id="119"/>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0"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01</w:t>
            </w:r>
          </w:p>
        </w:tc>
        <w:tc>
          <w:tcPr>
            <w:tcW w:w="1276" w:type="dxa"/>
            <w:shd w:val="clear" w:color="auto" w:fill="auto"/>
            <w:vAlign w:val="center"/>
          </w:tcPr>
          <w:p>
            <w:pPr>
              <w:jc w:val="center"/>
              <w:rPr>
                <w:lang w:val="en-US"/>
              </w:rPr>
            </w:pPr>
            <w:r>
              <w:rPr>
                <w:lang w:val="en-US"/>
              </w:rPr>
              <w:t>-0.24</w:t>
            </w:r>
          </w:p>
        </w:tc>
        <w:tc>
          <w:tcPr>
            <w:tcW w:w="1276" w:type="dxa"/>
            <w:shd w:val="clear" w:color="auto" w:fill="auto"/>
            <w:vAlign w:val="center"/>
          </w:tcPr>
          <w:p>
            <w:pPr>
              <w:jc w:val="center"/>
              <w:rPr>
                <w:lang w:val="en-US"/>
              </w:rPr>
            </w:pPr>
            <w:r>
              <w:rPr>
                <w:lang w:val="en-US"/>
              </w:rPr>
              <w:t>-0.52</w:t>
            </w:r>
          </w:p>
        </w:tc>
        <w:tc>
          <w:tcPr>
            <w:tcW w:w="1701" w:type="dxa"/>
            <w:shd w:val="clear" w:color="auto" w:fill="auto"/>
            <w:vAlign w:val="center"/>
          </w:tcPr>
          <w:p>
            <w:pPr>
              <w:jc w:val="center"/>
              <w:rPr>
                <w:lang w:val="en-US"/>
              </w:rPr>
            </w:pPr>
            <w:r>
              <w:rPr>
                <w:lang w:val="en-US"/>
              </w:rPr>
              <w:t>0.28</w:t>
            </w:r>
          </w:p>
        </w:tc>
        <w:tc>
          <w:tcPr>
            <w:tcW w:w="973" w:type="dxa"/>
            <w:shd w:val="clear" w:color="auto" w:fill="auto"/>
            <w:vAlign w:val="center"/>
          </w:tcPr>
          <w:p>
            <w:pPr>
              <w:jc w:val="center"/>
              <w:rPr>
                <w:lang w:val="en-US"/>
              </w:rPr>
            </w:pPr>
            <w:r>
              <w:rPr>
                <w:lang w:val="en-US"/>
              </w:rPr>
              <w:t>不参评</w:t>
            </w:r>
          </w:p>
        </w:tc>
      </w:tr>
      <w:bookmarkEnd w:id="120"/>
    </w:tbl>
    <w:p>
      <w:pPr>
        <w:rPr>
          <w:lang w:val="en-US"/>
        </w:rPr>
      </w:pPr>
      <w:bookmarkStart w:id="121" w:name="建筑迎风和背风面风压差结论汇总结论"/>
      <w:bookmarkEnd w:id="121"/>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22" w:name="冬季工况"/>
      <w:bookmarkEnd w:id="122"/>
      <w:r>
        <w:rPr>
          <w:rFonts w:hint="eastAsia"/>
          <w:lang w:val="en-US"/>
        </w:rPr>
        <w:t xml:space="preserve"> </w:t>
      </w:r>
    </w:p>
    <w:p>
      <w:pPr>
        <w:rPr>
          <w:lang w:val="en-US"/>
        </w:rPr>
      </w:pPr>
      <w:bookmarkStart w:id="123" w:name="其他工况"/>
      <w:bookmarkEnd w:id="123"/>
      <w:r>
        <w:rPr>
          <w:rFonts w:hint="eastAsia"/>
          <w:lang w:val="en-US"/>
        </w:rPr>
        <w:t xml:space="preserve"> </w:t>
      </w:r>
    </w:p>
    <w:p>
      <w:pPr>
        <w:pStyle w:val="4"/>
      </w:pPr>
      <w:bookmarkStart w:id="124" w:name="_Toc160125836"/>
      <w:bookmarkStart w:id="125" w:name="_Toc509844764"/>
      <w:r>
        <w:rPr>
          <w:rFonts w:hint="eastAsia"/>
        </w:rPr>
        <w:t>结论</w:t>
      </w:r>
      <w:bookmarkEnd w:id="124"/>
      <w:bookmarkEnd w:id="125"/>
    </w:p>
    <w:p>
      <w:pPr>
        <w:pStyle w:val="5"/>
      </w:pPr>
      <w:bookmarkStart w:id="126" w:name="_Toc160125837"/>
      <w:bookmarkStart w:id="127" w:name="_Toc509844765"/>
      <w:r>
        <w:rPr>
          <w:rFonts w:hint="eastAsia"/>
        </w:rPr>
        <w:t>冬季工况达标判断</w:t>
      </w:r>
      <w:bookmarkEnd w:id="126"/>
      <w:bookmarkEnd w:id="127"/>
      <w:bookmarkStart w:id="128" w:name="_Toc509844766"/>
      <w:bookmarkEnd w:id="12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9" w:name="标准要求冬季风速得分"/>
            <w:r>
              <w:rPr>
                <w:rFonts w:hint="eastAsia"/>
                <w:lang w:val="en-US"/>
              </w:rPr>
              <w:t>3</w:t>
            </w:r>
            <w:bookmarkEnd w:id="129"/>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30" w:name="冬季风速结果所有文字"/>
            <w:r>
              <w:rPr>
                <w:rFonts w:hint="eastAsia"/>
                <w:lang w:val="en-US"/>
              </w:rPr>
              <w:t>人行区</w:t>
            </w:r>
            <w:bookmarkStart w:id="131" w:name="冬季风速结果"/>
            <w:r>
              <w:t>没有出现</w:t>
            </w:r>
            <w:bookmarkEnd w:id="131"/>
            <w:r>
              <w:rPr>
                <w:rFonts w:hint="eastAsia"/>
                <w:lang w:val="en-US"/>
              </w:rPr>
              <w:t>风速大于</w:t>
            </w:r>
            <w:r>
              <w:rPr>
                <w:lang w:val="en-US"/>
              </w:rPr>
              <w:t>5m/s</w:t>
            </w:r>
            <w:r>
              <w:rPr>
                <w:rFonts w:hint="eastAsia"/>
                <w:lang w:val="en-US"/>
              </w:rPr>
              <w:t>的区域，户外休息区、儿童娱乐区</w:t>
            </w:r>
            <w:bookmarkStart w:id="132" w:name="冬季风速结果2"/>
            <w:r>
              <w:t>没有出现</w:t>
            </w:r>
            <w:bookmarkEnd w:id="132"/>
            <w:r>
              <w:rPr>
                <w:rFonts w:hint="eastAsia"/>
                <w:lang w:val="en-US"/>
              </w:rPr>
              <w:t>风速大于2m/s的区域</w:t>
            </w:r>
            <w:bookmarkEnd w:id="130"/>
          </w:p>
        </w:tc>
        <w:tc>
          <w:tcPr>
            <w:tcW w:w="1985" w:type="dxa"/>
            <w:vMerge w:val="restart"/>
            <w:tcBorders>
              <w:top w:val="single" w:color="auto" w:sz="4" w:space="0"/>
            </w:tcBorders>
            <w:shd w:val="clear" w:color="auto" w:fill="auto"/>
            <w:vAlign w:val="center"/>
          </w:tcPr>
          <w:p>
            <w:pPr>
              <w:jc w:val="center"/>
              <w:rPr>
                <w:b/>
                <w:lang w:val="en-US"/>
              </w:rPr>
            </w:pPr>
            <w:bookmarkStart w:id="133" w:name="冬季风速达标判定"/>
            <w:r>
              <w:rPr>
                <w:rFonts w:hint="eastAsia"/>
                <w:b/>
                <w:lang w:val="en-US"/>
              </w:rPr>
              <w:t>达标</w:t>
            </w:r>
            <w:bookmarkEnd w:id="133"/>
          </w:p>
        </w:tc>
        <w:tc>
          <w:tcPr>
            <w:tcW w:w="1416" w:type="dxa"/>
            <w:vMerge w:val="restart"/>
            <w:tcBorders>
              <w:top w:val="single" w:color="auto" w:sz="4" w:space="0"/>
            </w:tcBorders>
            <w:shd w:val="clear" w:color="auto" w:fill="auto"/>
            <w:vAlign w:val="center"/>
          </w:tcPr>
          <w:p>
            <w:pPr>
              <w:jc w:val="center"/>
              <w:rPr>
                <w:lang w:val="en-US"/>
              </w:rPr>
            </w:pPr>
            <w:bookmarkStart w:id="134" w:name="冬季风速得分"/>
            <w:r>
              <w:rPr>
                <w:rFonts w:hint="eastAsia"/>
                <w:lang w:val="en-US"/>
              </w:rPr>
              <w:t>3</w:t>
            </w:r>
            <w:bookmarkEnd w:id="13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35" w:name="冬季风速放大系数结果所有文字"/>
            <w:r>
              <w:rPr>
                <w:rFonts w:hint="eastAsia"/>
                <w:lang w:val="en-US"/>
              </w:rPr>
              <w:t>人行区</w:t>
            </w:r>
            <w:bookmarkStart w:id="136" w:name="冬季风速放大系数结果人行区"/>
            <w:bookmarkEnd w:id="136"/>
            <w:r>
              <w:rPr>
                <w:rFonts w:hint="eastAsia"/>
                <w:lang w:val="en-US"/>
              </w:rPr>
              <w:t>、户外休息区</w:t>
            </w:r>
            <w:r>
              <w:rPr>
                <w:lang w:val="en-US"/>
              </w:rPr>
              <w:t>、</w:t>
            </w:r>
            <w:r>
              <w:rPr>
                <w:rFonts w:hint="eastAsia"/>
                <w:lang w:val="en-US"/>
              </w:rPr>
              <w:t>儿童娱乐区</w:t>
            </w:r>
            <w:bookmarkStart w:id="137" w:name="冬季风速放大系数结果休息区"/>
            <w:r>
              <w:t>没有出现</w:t>
            </w:r>
            <w:bookmarkEnd w:id="137"/>
            <w:r>
              <w:rPr>
                <w:rFonts w:hint="eastAsia"/>
                <w:lang w:val="en-US"/>
              </w:rPr>
              <w:t>风速放大系数大于等于2的区域</w:t>
            </w:r>
            <w:bookmarkEnd w:id="135"/>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8" w:name="标准要求冬季风压得分"/>
            <w:r>
              <w:rPr>
                <w:rFonts w:hint="eastAsia"/>
                <w:lang w:val="en-US"/>
              </w:rPr>
              <w:t>2</w:t>
            </w:r>
            <w:bookmarkEnd w:id="138"/>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39" w:name="冬季迎背风面结果"/>
            <w:r>
              <w:t>没有出现</w:t>
            </w:r>
            <w:bookmarkEnd w:id="139"/>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40" w:name="冬季迎背风面达标判定"/>
            <w:r>
              <w:rPr>
                <w:rFonts w:hint="eastAsia"/>
                <w:b/>
                <w:lang w:val="en-US"/>
              </w:rPr>
              <w:t>达标</w:t>
            </w:r>
            <w:bookmarkEnd w:id="140"/>
          </w:p>
        </w:tc>
        <w:tc>
          <w:tcPr>
            <w:tcW w:w="1416" w:type="dxa"/>
            <w:shd w:val="clear" w:color="auto" w:fill="auto"/>
            <w:vAlign w:val="center"/>
          </w:tcPr>
          <w:p>
            <w:pPr>
              <w:jc w:val="center"/>
              <w:rPr>
                <w:lang w:val="en-US"/>
              </w:rPr>
            </w:pPr>
            <w:bookmarkStart w:id="141" w:name="冬季迎背风面得分"/>
            <w:r>
              <w:rPr>
                <w:rFonts w:hint="eastAsia"/>
                <w:lang w:val="en-US"/>
              </w:rPr>
              <w:t>2</w:t>
            </w:r>
            <w:bookmarkEnd w:id="141"/>
            <w:r>
              <w:rPr>
                <w:rFonts w:hint="eastAsia"/>
                <w:lang w:val="en-US"/>
              </w:rPr>
              <w:t>分</w:t>
            </w:r>
          </w:p>
        </w:tc>
      </w:tr>
    </w:tbl>
    <w:p>
      <w:pPr>
        <w:rPr>
          <w:szCs w:val="21"/>
          <w:lang w:val="en-US"/>
        </w:rPr>
      </w:pPr>
      <w:bookmarkStart w:id="142" w:name="_Toc509844767"/>
      <w:bookmarkEnd w:id="142"/>
      <w:bookmarkStart w:id="143" w:name="_Toc509844768"/>
      <w:bookmarkEnd w:id="143"/>
    </w:p>
    <w:p>
      <w:pPr>
        <w:pStyle w:val="3"/>
        <w:ind w:firstLine="0" w:firstLineChars="0"/>
        <w:rPr>
          <w:lang w:val="en-US"/>
        </w:rPr>
      </w:pPr>
      <w:r>
        <w:rPr>
          <w:rFonts w:hint="eastAsia"/>
          <w:lang w:val="en-US"/>
        </w:rPr>
        <w:t>综合上述达标判断详表的信息，可知本项目得分为</w:t>
      </w:r>
      <w:bookmarkStart w:id="144" w:name="总得分"/>
      <w:r>
        <w:rPr>
          <w:rFonts w:hint="eastAsia"/>
          <w:lang w:val="en-US"/>
        </w:rPr>
        <w:t>5</w:t>
      </w:r>
      <w:bookmarkEnd w:id="14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jNTVkODczZGU1NmVmZDIyZWE2NzVjZDBmYmM4MDgifQ=="/>
  </w:docVars>
  <w:rsids>
    <w:rsidRoot w:val="00344B83"/>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4B83"/>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048C"/>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46914"/>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32DD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19</Pages>
  <Words>1391</Words>
  <Characters>7930</Characters>
  <Lines>66</Lines>
  <Paragraphs>18</Paragraphs>
  <TotalTime>1</TotalTime>
  <ScaleCrop>false</ScaleCrop>
  <LinksUpToDate>false</LinksUpToDate>
  <CharactersWithSpaces>9303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2024-02-29T11:03:00Z</dcterms:created>
  <dc:creator>ying</dc:creator>
  <cp:lastModifiedBy>环游世界的鱼</cp:lastModifiedBy>
  <cp:lastPrinted>1900-12-31T16:00:00Z</cp:lastPrinted>
  <dcterms:modified xsi:type="dcterms:W3CDTF">2024-02-29T14:11:20Z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98CE2ADAF60840EDB0D8688357E9BF94_12</vt:lpwstr>
  </property>
</Properties>
</file>