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双碳目标下严寒地区教学楼绿色建筑设计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