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5="http://schemas.microsoft.com/office/word/2012/wordml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基于区域资源应对——风、水、林  乡村老年低碳绿色友好社区空间设计方案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达到低限标准限值和高要求标准限值的平均值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31.0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64.0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总得分：Q=（Q0+Q1+Q2+Q3+Q4+Q5+QA）/10=77.2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59399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59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72530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72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86.0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15="http://schemas.microsoft.com/office/word/2012/wordml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5="http://schemas.microsoft.com/office/word/2012/wordml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