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BE2F" w14:textId="026062BC" w:rsidR="000009FC" w:rsidRPr="00356770" w:rsidRDefault="00FC77DB">
      <w:pPr>
        <w:jc w:val="center"/>
        <w:rPr>
          <w:rFonts w:asciiTheme="majorEastAsia" w:eastAsiaTheme="majorEastAsia" w:hAnsiTheme="majorEastAsia" w:cstheme="majorEastAsia"/>
          <w:color w:val="0D0D0D" w:themeColor="text1" w:themeTint="F2"/>
          <w:sz w:val="24"/>
        </w:rPr>
      </w:pPr>
      <w:r w:rsidRPr="00356770">
        <w:rPr>
          <w:rFonts w:asciiTheme="majorEastAsia" w:eastAsiaTheme="majorEastAsia" w:hAnsiTheme="majorEastAsia" w:cstheme="majorEastAsia" w:hint="eastAsia"/>
          <w:color w:val="0D0D0D" w:themeColor="text1" w:themeTint="F2"/>
          <w:sz w:val="30"/>
          <w:szCs w:val="30"/>
        </w:rPr>
        <w:t>学生活动中心改造设计</w:t>
      </w:r>
    </w:p>
    <w:p w14:paraId="585DE8BD" w14:textId="77777777" w:rsidR="000009FC" w:rsidRPr="00356770" w:rsidRDefault="00943DD9">
      <w:pPr>
        <w:jc w:val="center"/>
        <w:rPr>
          <w:rFonts w:asciiTheme="majorEastAsia" w:eastAsiaTheme="majorEastAsia" w:hAnsiTheme="majorEastAsia" w:cstheme="majorEastAsia"/>
          <w:color w:val="0D0D0D" w:themeColor="text1" w:themeTint="F2"/>
          <w:sz w:val="30"/>
          <w:szCs w:val="30"/>
        </w:rPr>
      </w:pPr>
      <w:r w:rsidRPr="00356770">
        <w:rPr>
          <w:rFonts w:asciiTheme="majorEastAsia" w:eastAsiaTheme="majorEastAsia" w:hAnsiTheme="majorEastAsia" w:cstheme="majorEastAsia" w:hint="eastAsia"/>
          <w:color w:val="0D0D0D" w:themeColor="text1" w:themeTint="F2"/>
          <w:sz w:val="30"/>
          <w:szCs w:val="30"/>
        </w:rPr>
        <w:t>绿色建筑设计专篇</w:t>
      </w:r>
    </w:p>
    <w:p w14:paraId="25B6886F" w14:textId="68D9FD4C" w:rsidR="000009FC" w:rsidRPr="00356770" w:rsidRDefault="00943DD9">
      <w:pPr>
        <w:jc w:val="center"/>
        <w:rPr>
          <w:rFonts w:asciiTheme="majorEastAsia" w:eastAsiaTheme="majorEastAsia" w:hAnsiTheme="majorEastAsia" w:cstheme="majorEastAsia"/>
          <w:color w:val="0D0D0D" w:themeColor="text1" w:themeTint="F2"/>
          <w:sz w:val="24"/>
        </w:rPr>
      </w:pPr>
      <w:r w:rsidRPr="00356770">
        <w:rPr>
          <w:rFonts w:asciiTheme="majorEastAsia" w:eastAsiaTheme="majorEastAsia" w:hAnsiTheme="majorEastAsia" w:cstheme="majorEastAsia" w:hint="eastAsia"/>
          <w:color w:val="0D0D0D" w:themeColor="text1" w:themeTint="F2"/>
          <w:sz w:val="24"/>
        </w:rPr>
        <w:t xml:space="preserve">设计：                   </w:t>
      </w:r>
    </w:p>
    <w:p w14:paraId="669CC1C5" w14:textId="435FF044" w:rsidR="000009FC" w:rsidRPr="00356770" w:rsidRDefault="00943DD9">
      <w:pPr>
        <w:jc w:val="center"/>
        <w:rPr>
          <w:rFonts w:asciiTheme="majorEastAsia" w:eastAsiaTheme="majorEastAsia" w:hAnsiTheme="majorEastAsia" w:cstheme="majorEastAsia"/>
          <w:color w:val="0D0D0D" w:themeColor="text1" w:themeTint="F2"/>
          <w:sz w:val="24"/>
        </w:rPr>
      </w:pPr>
      <w:r w:rsidRPr="00356770">
        <w:rPr>
          <w:rFonts w:asciiTheme="majorEastAsia" w:eastAsiaTheme="majorEastAsia" w:hAnsiTheme="majorEastAsia" w:cstheme="majorEastAsia" w:hint="eastAsia"/>
          <w:color w:val="0D0D0D" w:themeColor="text1" w:themeTint="F2"/>
          <w:sz w:val="24"/>
        </w:rPr>
        <w:t>日期：</w:t>
      </w:r>
      <w:r w:rsidR="00FC77DB" w:rsidRPr="00356770">
        <w:rPr>
          <w:rFonts w:asciiTheme="majorEastAsia" w:eastAsiaTheme="majorEastAsia" w:hAnsiTheme="majorEastAsia" w:cstheme="majorEastAsia" w:hint="eastAsia"/>
          <w:color w:val="0D0D0D" w:themeColor="text1" w:themeTint="F2"/>
          <w:sz w:val="24"/>
        </w:rPr>
        <w:t>2</w:t>
      </w:r>
      <w:r w:rsidR="00FC77DB" w:rsidRPr="00356770">
        <w:rPr>
          <w:rFonts w:asciiTheme="majorEastAsia" w:eastAsiaTheme="majorEastAsia" w:hAnsiTheme="majorEastAsia" w:cstheme="majorEastAsia"/>
          <w:color w:val="0D0D0D" w:themeColor="text1" w:themeTint="F2"/>
          <w:sz w:val="24"/>
        </w:rPr>
        <w:t>023.12</w:t>
      </w:r>
    </w:p>
    <w:p w14:paraId="26C28C4B" w14:textId="77777777" w:rsidR="000009FC" w:rsidRPr="00356770" w:rsidRDefault="000009FC">
      <w:pPr>
        <w:jc w:val="center"/>
        <w:rPr>
          <w:rFonts w:asciiTheme="majorEastAsia" w:eastAsiaTheme="majorEastAsia" w:hAnsiTheme="majorEastAsia" w:cstheme="majorEastAsia"/>
          <w:color w:val="0D0D0D" w:themeColor="text1" w:themeTint="F2"/>
          <w:sz w:val="24"/>
        </w:rPr>
      </w:pPr>
    </w:p>
    <w:p w14:paraId="108CD80A" w14:textId="77777777" w:rsidR="000009FC" w:rsidRPr="00356770" w:rsidRDefault="000009FC">
      <w:pPr>
        <w:jc w:val="center"/>
        <w:rPr>
          <w:rFonts w:asciiTheme="majorEastAsia" w:eastAsiaTheme="majorEastAsia" w:hAnsiTheme="majorEastAsia" w:cstheme="majorEastAsia"/>
          <w:color w:val="0D0D0D" w:themeColor="text1" w:themeTint="F2"/>
          <w:sz w:val="24"/>
        </w:rPr>
      </w:pPr>
    </w:p>
    <w:p w14:paraId="0648B35B" w14:textId="77777777" w:rsidR="000009FC" w:rsidRPr="00356770" w:rsidRDefault="00943DD9">
      <w:pPr>
        <w:jc w:val="left"/>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一、工程概况</w:t>
      </w:r>
    </w:p>
    <w:p w14:paraId="2E15549F" w14:textId="41B383E9"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1.工程名称</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u w:val="single"/>
        </w:rPr>
        <w:t xml:space="preserve">  </w:t>
      </w:r>
      <w:r w:rsidR="00626159" w:rsidRPr="00356770">
        <w:rPr>
          <w:rFonts w:asciiTheme="majorEastAsia" w:eastAsiaTheme="majorEastAsia" w:hAnsiTheme="majorEastAsia" w:cstheme="majorEastAsia"/>
          <w:color w:val="0D0D0D" w:themeColor="text1" w:themeTint="F2"/>
          <w:szCs w:val="21"/>
          <w:u w:val="single"/>
        </w:rPr>
        <w:t xml:space="preserve">   </w:t>
      </w:r>
      <w:r w:rsidRPr="00356770">
        <w:rPr>
          <w:rFonts w:asciiTheme="majorEastAsia" w:eastAsiaTheme="majorEastAsia" w:hAnsiTheme="majorEastAsia" w:cstheme="majorEastAsia" w:hint="eastAsia"/>
          <w:color w:val="0D0D0D" w:themeColor="text1" w:themeTint="F2"/>
          <w:szCs w:val="21"/>
          <w:u w:val="single"/>
        </w:rPr>
        <w:t xml:space="preserve"> </w:t>
      </w:r>
      <w:r w:rsidR="00626159" w:rsidRPr="00356770">
        <w:rPr>
          <w:rFonts w:asciiTheme="majorEastAsia" w:eastAsiaTheme="majorEastAsia" w:hAnsiTheme="majorEastAsia" w:cstheme="majorEastAsia" w:hint="eastAsia"/>
          <w:color w:val="0D0D0D" w:themeColor="text1" w:themeTint="F2"/>
          <w:szCs w:val="21"/>
          <w:u w:val="single"/>
        </w:rPr>
        <w:t>学生活动中心改造设计</w:t>
      </w:r>
      <w:r w:rsidRPr="00356770">
        <w:rPr>
          <w:rFonts w:asciiTheme="majorEastAsia" w:eastAsiaTheme="majorEastAsia" w:hAnsiTheme="majorEastAsia" w:cstheme="majorEastAsia" w:hint="eastAsia"/>
          <w:color w:val="0D0D0D" w:themeColor="text1" w:themeTint="F2"/>
          <w:szCs w:val="21"/>
          <w:u w:val="single"/>
        </w:rPr>
        <w:t xml:space="preserve"> </w:t>
      </w:r>
      <w:r w:rsidR="00626159" w:rsidRPr="00356770">
        <w:rPr>
          <w:rFonts w:asciiTheme="majorEastAsia" w:eastAsiaTheme="majorEastAsia" w:hAnsiTheme="majorEastAsia" w:cstheme="majorEastAsia"/>
          <w:color w:val="0D0D0D" w:themeColor="text1" w:themeTint="F2"/>
          <w:szCs w:val="21"/>
          <w:u w:val="single"/>
        </w:rPr>
        <w:t xml:space="preserve">   </w:t>
      </w:r>
      <w:r w:rsidRPr="00356770">
        <w:rPr>
          <w:rFonts w:asciiTheme="majorEastAsia" w:eastAsiaTheme="majorEastAsia" w:hAnsiTheme="majorEastAsia" w:cstheme="majorEastAsia" w:hint="eastAsia"/>
          <w:color w:val="0D0D0D" w:themeColor="text1" w:themeTint="F2"/>
          <w:szCs w:val="21"/>
          <w:u w:val="single"/>
        </w:rPr>
        <w:t xml:space="preserve">  </w:t>
      </w:r>
    </w:p>
    <w:p w14:paraId="035C11D6" w14:textId="41BC2032"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2.建设地点</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u w:val="single"/>
        </w:rPr>
        <w:t xml:space="preserve">  </w:t>
      </w:r>
      <w:r w:rsidR="00626159" w:rsidRPr="00356770">
        <w:rPr>
          <w:rFonts w:asciiTheme="majorEastAsia" w:eastAsiaTheme="majorEastAsia" w:hAnsiTheme="majorEastAsia" w:cstheme="majorEastAsia"/>
          <w:color w:val="0D0D0D" w:themeColor="text1" w:themeTint="F2"/>
          <w:szCs w:val="21"/>
          <w:u w:val="single"/>
        </w:rPr>
        <w:t xml:space="preserve">   </w:t>
      </w:r>
      <w:r w:rsidRPr="00356770">
        <w:rPr>
          <w:rFonts w:asciiTheme="majorEastAsia" w:eastAsiaTheme="majorEastAsia" w:hAnsiTheme="majorEastAsia" w:cstheme="majorEastAsia" w:hint="eastAsia"/>
          <w:color w:val="0D0D0D" w:themeColor="text1" w:themeTint="F2"/>
          <w:szCs w:val="21"/>
          <w:u w:val="single"/>
        </w:rPr>
        <w:t xml:space="preserve"> 广东省江门市蓬江区        </w:t>
      </w:r>
    </w:p>
    <w:p w14:paraId="7E24E973" w14:textId="6F653CC2"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建筑类型</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u w:val="single"/>
        </w:rPr>
        <w:t xml:space="preserve">   </w:t>
      </w:r>
      <w:r w:rsidRPr="00356770">
        <w:rPr>
          <w:rFonts w:asciiTheme="majorEastAsia" w:eastAsiaTheme="majorEastAsia" w:hAnsiTheme="majorEastAsia" w:cstheme="majorEastAsia"/>
          <w:color w:val="0D0D0D" w:themeColor="text1" w:themeTint="F2"/>
          <w:szCs w:val="21"/>
          <w:u w:val="single"/>
        </w:rPr>
        <w:t xml:space="preserve"> </w:t>
      </w:r>
      <w:r w:rsidR="00626159" w:rsidRPr="00356770">
        <w:rPr>
          <w:rFonts w:asciiTheme="majorEastAsia" w:eastAsiaTheme="majorEastAsia" w:hAnsiTheme="majorEastAsia" w:cstheme="majorEastAsia"/>
          <w:color w:val="0D0D0D" w:themeColor="text1" w:themeTint="F2"/>
          <w:szCs w:val="21"/>
          <w:u w:val="single"/>
        </w:rPr>
        <w:t xml:space="preserve">       </w:t>
      </w:r>
      <w:r w:rsidRPr="00356770">
        <w:rPr>
          <w:rFonts w:asciiTheme="majorEastAsia" w:eastAsiaTheme="majorEastAsia" w:hAnsiTheme="majorEastAsia" w:cstheme="majorEastAsia" w:hint="eastAsia"/>
          <w:color w:val="0D0D0D" w:themeColor="text1" w:themeTint="F2"/>
          <w:szCs w:val="21"/>
          <w:u w:val="single"/>
        </w:rPr>
        <w:t xml:space="preserve">公共建筑 </w:t>
      </w:r>
      <w:r w:rsidRPr="00356770">
        <w:rPr>
          <w:rFonts w:asciiTheme="majorEastAsia" w:eastAsiaTheme="majorEastAsia" w:hAnsiTheme="majorEastAsia" w:cstheme="majorEastAsia"/>
          <w:color w:val="0D0D0D" w:themeColor="text1" w:themeTint="F2"/>
          <w:szCs w:val="21"/>
          <w:u w:val="single"/>
        </w:rPr>
        <w:t xml:space="preserve">   </w:t>
      </w:r>
      <w:r w:rsidRPr="00356770">
        <w:rPr>
          <w:rFonts w:asciiTheme="majorEastAsia" w:eastAsiaTheme="majorEastAsia" w:hAnsiTheme="majorEastAsia" w:cstheme="majorEastAsia" w:hint="eastAsia"/>
          <w:color w:val="0D0D0D" w:themeColor="text1" w:themeTint="F2"/>
          <w:szCs w:val="21"/>
          <w:u w:val="single"/>
        </w:rPr>
        <w:t xml:space="preserve">         </w:t>
      </w:r>
    </w:p>
    <w:p w14:paraId="691CCF25"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4</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工程规模</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u w:val="single"/>
        </w:rPr>
        <w:t xml:space="preserve">                                </w:t>
      </w:r>
    </w:p>
    <w:p w14:paraId="1143ADB7" w14:textId="77777777" w:rsidR="000009FC" w:rsidRPr="00356770" w:rsidRDefault="00943DD9">
      <w:pPr>
        <w:jc w:val="left"/>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二、设计依据</w:t>
      </w:r>
    </w:p>
    <w:p w14:paraId="6C6BEED7"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1.《民用建筑热工设计规范》（GB50176-93），2016，ISBN 1511228919</w:t>
      </w:r>
    </w:p>
    <w:p w14:paraId="03B69224"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2.《绿色建筑评价标准》（GB／T50378-2019），2019年， ISBN 1511233419</w:t>
      </w:r>
    </w:p>
    <w:p w14:paraId="0E110F13"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3.《广东省绿色建筑设计标准》（DBJ/T15-201-2020），广东省住房和城乡建设厅标准，2021年</w:t>
      </w:r>
    </w:p>
    <w:p w14:paraId="3F7C14E2"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4.《建筑节能与可再生能源利用通用规范》（GB 55015-2021），中华人民共和国行业标准，2021年 </w:t>
      </w:r>
    </w:p>
    <w:p w14:paraId="1639F8CC"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5.《公共建筑节能设计标准》（GB 50189-2015），中华人民共和国行业标准，2015年，ISBN 91511226431</w:t>
      </w:r>
    </w:p>
    <w:p w14:paraId="490A63A7"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6.《夏热冬暖地区节能设计标准》（JGJ75-2012），中华人民共和国行业标准，2012 </w:t>
      </w:r>
    </w:p>
    <w:p w14:paraId="2E9DEAB1"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7.《声环境质量标准》(GB 3096-2008)8.</w:t>
      </w:r>
    </w:p>
    <w:p w14:paraId="7B4146CA"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8.《建筑照明设计标准》(GB50034-2013)</w:t>
      </w:r>
    </w:p>
    <w:p w14:paraId="12459FF5"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9.《城市夜景照明设计规范》(JGJT163-2008)</w:t>
      </w:r>
    </w:p>
    <w:p w14:paraId="14163520"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10.《民用建筑节水设计标准》</w:t>
      </w:r>
      <w:proofErr w:type="gramStart"/>
      <w:r w:rsidRPr="00356770">
        <w:rPr>
          <w:rFonts w:asciiTheme="majorEastAsia" w:eastAsiaTheme="majorEastAsia" w:hAnsiTheme="majorEastAsia" w:cstheme="majorEastAsia" w:hint="eastAsia"/>
          <w:color w:val="0D0D0D" w:themeColor="text1" w:themeTint="F2"/>
          <w:szCs w:val="21"/>
        </w:rPr>
        <w:t>《</w:t>
      </w:r>
      <w:proofErr w:type="gramEnd"/>
      <w:r w:rsidRPr="00356770">
        <w:rPr>
          <w:rFonts w:asciiTheme="majorEastAsia" w:eastAsiaTheme="majorEastAsia" w:hAnsiTheme="majorEastAsia" w:cstheme="majorEastAsia" w:hint="eastAsia"/>
          <w:color w:val="0D0D0D" w:themeColor="text1" w:themeTint="F2"/>
          <w:szCs w:val="21"/>
        </w:rPr>
        <w:t>GB 50555-2010)</w:t>
      </w:r>
    </w:p>
    <w:p w14:paraId="3300CC2A" w14:textId="77777777" w:rsidR="000009FC" w:rsidRPr="00356770" w:rsidRDefault="00943DD9">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11.《建筑材料放射性核素限量》(GB 6566-2010)</w:t>
      </w:r>
    </w:p>
    <w:p w14:paraId="40A5424C"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12.《民用建筑工程室内环境污染控制标准》GB 50325-2020</w:t>
      </w:r>
    </w:p>
    <w:p w14:paraId="1EED2BB0"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13.《室内空气质量标准》(GB/T18883-2002)</w:t>
      </w:r>
    </w:p>
    <w:p w14:paraId="0BB1BCC2"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14.《民用建筑隔声设计规范》(GB50018-2010)</w:t>
      </w:r>
    </w:p>
    <w:p w14:paraId="3CA30C55"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15.《建筑采光设计标准》(GB50033-2013)</w:t>
      </w:r>
    </w:p>
    <w:p w14:paraId="561CF903"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16.《建筑节能气象参数标准》 (JGJ/T 346-2014)</w:t>
      </w:r>
    </w:p>
    <w:p w14:paraId="3089C3A7"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17.国家、省、市现行的相关法律、法规、规范性文件</w:t>
      </w:r>
    </w:p>
    <w:p w14:paraId="3023B629" w14:textId="77777777" w:rsidR="000009FC" w:rsidRPr="00356770" w:rsidRDefault="00943DD9">
      <w:pPr>
        <w:jc w:val="left"/>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三、设计目标</w:t>
      </w:r>
    </w:p>
    <w:p w14:paraId="65100A39" w14:textId="4C51C5C6"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满足《绿色建筑评价标准》（GB／T50378-2019） 中</w:t>
      </w:r>
      <w:r w:rsidRPr="00356770">
        <w:rPr>
          <w:rFonts w:asciiTheme="majorEastAsia" w:eastAsiaTheme="majorEastAsia" w:hAnsiTheme="majorEastAsia" w:cstheme="majorEastAsia" w:hint="eastAsia"/>
          <w:color w:val="0D0D0D" w:themeColor="text1" w:themeTint="F2"/>
          <w:szCs w:val="21"/>
          <w:u w:val="single"/>
        </w:rPr>
        <w:t xml:space="preserve"> </w:t>
      </w:r>
      <w:r w:rsidRPr="00356770">
        <w:rPr>
          <w:rFonts w:asciiTheme="majorEastAsia" w:eastAsiaTheme="majorEastAsia" w:hAnsiTheme="majorEastAsia" w:cstheme="majorEastAsia"/>
          <w:color w:val="0D0D0D" w:themeColor="text1" w:themeTint="F2"/>
          <w:szCs w:val="21"/>
          <w:u w:val="single"/>
        </w:rPr>
        <w:t xml:space="preserve"> </w:t>
      </w:r>
      <w:r w:rsidRPr="00356770">
        <w:rPr>
          <w:rFonts w:asciiTheme="majorEastAsia" w:eastAsiaTheme="majorEastAsia" w:hAnsiTheme="majorEastAsia" w:cstheme="majorEastAsia" w:hint="eastAsia"/>
          <w:color w:val="0D0D0D" w:themeColor="text1" w:themeTint="F2"/>
          <w:szCs w:val="21"/>
          <w:u w:val="single"/>
        </w:rPr>
        <w:t xml:space="preserve">二  </w:t>
      </w:r>
      <w:r w:rsidRPr="00356770">
        <w:rPr>
          <w:rFonts w:asciiTheme="majorEastAsia" w:eastAsiaTheme="majorEastAsia" w:hAnsiTheme="majorEastAsia" w:cstheme="majorEastAsia" w:hint="eastAsia"/>
          <w:color w:val="0D0D0D" w:themeColor="text1" w:themeTint="F2"/>
          <w:szCs w:val="21"/>
        </w:rPr>
        <w:t>级绿色建筑设计要求。</w:t>
      </w:r>
    </w:p>
    <w:p w14:paraId="336529EA" w14:textId="77777777" w:rsidR="000009FC" w:rsidRPr="00356770" w:rsidRDefault="00943DD9">
      <w:pPr>
        <w:jc w:val="left"/>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四、特殊要求</w:t>
      </w:r>
    </w:p>
    <w:p w14:paraId="4B05BD7D"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1.节水器具用水效率等级:</w:t>
      </w:r>
    </w:p>
    <w:p w14:paraId="36434931" w14:textId="77777777"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全部达到2级及以上。</w:t>
      </w:r>
    </w:p>
    <w:p w14:paraId="4E5B9C0A" w14:textId="77777777" w:rsidR="000009FC" w:rsidRPr="00356770" w:rsidRDefault="00943DD9">
      <w:pPr>
        <w:numPr>
          <w:ilvl w:val="0"/>
          <w:numId w:val="1"/>
        </w:num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hint="eastAsia"/>
          <w:color w:val="0D0D0D" w:themeColor="text1" w:themeTint="F2"/>
          <w:szCs w:val="21"/>
        </w:rPr>
        <w:t>建筑声</w:t>
      </w:r>
      <w:proofErr w:type="gramEnd"/>
      <w:r w:rsidRPr="00356770">
        <w:rPr>
          <w:rFonts w:asciiTheme="majorEastAsia" w:eastAsiaTheme="majorEastAsia" w:hAnsiTheme="majorEastAsia" w:cstheme="majorEastAsia" w:hint="eastAsia"/>
          <w:color w:val="0D0D0D" w:themeColor="text1" w:themeTint="F2"/>
          <w:szCs w:val="21"/>
        </w:rPr>
        <w:t>性能:</w:t>
      </w:r>
    </w:p>
    <w:p w14:paraId="2B7E112A" w14:textId="77777777"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构件及相邻房间之间的空气声隔声性能达到现行国家标准《民用建筑隔声设计规范》GB 50118 中的低限标准限值和高要求标准限值的平均值；楼板的撞击声隔声性能达到现行国家标准《民用建筑隔声设计规范》GB 50118 中的高要求准限值。</w:t>
      </w:r>
    </w:p>
    <w:p w14:paraId="1E653075" w14:textId="77777777" w:rsidR="000009FC" w:rsidRPr="00356770" w:rsidRDefault="00943DD9">
      <w:pPr>
        <w:numPr>
          <w:ilvl w:val="0"/>
          <w:numId w:val="1"/>
        </w:num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外窗气密性能:</w:t>
      </w:r>
    </w:p>
    <w:p w14:paraId="2B00B4D3" w14:textId="77777777"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符合国家现行相关节能设计标准的规定，且与外窗本体的部位结合严密以上技术要点满足基本级的绿色建筑的技术要求。</w:t>
      </w:r>
    </w:p>
    <w:p w14:paraId="5525BE98" w14:textId="77777777" w:rsidR="000009FC" w:rsidRPr="00356770" w:rsidRDefault="00943DD9">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五、绿色建筑评估结论</w:t>
      </w:r>
    </w:p>
    <w:p w14:paraId="240DB30C" w14:textId="781D0E60"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依据《绿色建筑评价标准》（GB／T50378-2019）在安全耐久、健康舒适、生活便利、资源节约、环境宜居等方面的技术要求，针对项目设计阶段资料进行评估，本项目的设计阶段控制项全部达标，评分项分数达到设计阶段</w:t>
      </w:r>
      <w:r w:rsidRPr="00356770">
        <w:rPr>
          <w:rFonts w:asciiTheme="majorEastAsia" w:eastAsiaTheme="majorEastAsia" w:hAnsiTheme="majorEastAsia" w:cstheme="majorEastAsia" w:hint="eastAsia"/>
          <w:color w:val="0D0D0D" w:themeColor="text1" w:themeTint="F2"/>
          <w:szCs w:val="21"/>
          <w:u w:val="single"/>
        </w:rPr>
        <w:t xml:space="preserve">  二  </w:t>
      </w:r>
      <w:r w:rsidRPr="00356770">
        <w:rPr>
          <w:rFonts w:asciiTheme="majorEastAsia" w:eastAsiaTheme="majorEastAsia" w:hAnsiTheme="majorEastAsia" w:cstheme="majorEastAsia" w:hint="eastAsia"/>
          <w:color w:val="0D0D0D" w:themeColor="text1" w:themeTint="F2"/>
          <w:szCs w:val="21"/>
        </w:rPr>
        <w:t>级的标准。</w:t>
      </w:r>
    </w:p>
    <w:p w14:paraId="3C9AA76E" w14:textId="77777777"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评分项得分情况见表5-1：</w:t>
      </w:r>
    </w:p>
    <w:tbl>
      <w:tblPr>
        <w:tblStyle w:val="a3"/>
        <w:tblW w:w="0" w:type="auto"/>
        <w:tblLook w:val="04A0" w:firstRow="1" w:lastRow="0" w:firstColumn="1" w:lastColumn="0" w:noHBand="0" w:noVBand="1"/>
      </w:tblPr>
      <w:tblGrid>
        <w:gridCol w:w="1266"/>
        <w:gridCol w:w="1476"/>
        <w:gridCol w:w="1056"/>
        <w:gridCol w:w="1056"/>
        <w:gridCol w:w="1056"/>
        <w:gridCol w:w="1056"/>
        <w:gridCol w:w="1056"/>
        <w:gridCol w:w="846"/>
      </w:tblGrid>
      <w:tr w:rsidR="00356770" w:rsidRPr="00356770" w14:paraId="05CFADFA" w14:textId="77777777">
        <w:tc>
          <w:tcPr>
            <w:tcW w:w="0" w:type="auto"/>
            <w:vAlign w:val="center"/>
          </w:tcPr>
          <w:p w14:paraId="1415F929"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0" w:type="auto"/>
            <w:vAlign w:val="center"/>
          </w:tcPr>
          <w:p w14:paraId="2A045756"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控制</w:t>
            </w:r>
            <w:proofErr w:type="gramStart"/>
            <w:r w:rsidRPr="00356770">
              <w:rPr>
                <w:rFonts w:asciiTheme="majorEastAsia" w:eastAsiaTheme="majorEastAsia" w:hAnsiTheme="majorEastAsia" w:cstheme="majorEastAsia" w:hint="eastAsia"/>
                <w:color w:val="0D0D0D" w:themeColor="text1" w:themeTint="F2"/>
                <w:szCs w:val="21"/>
              </w:rPr>
              <w:t>项基础分</w:t>
            </w:r>
            <w:proofErr w:type="gramEnd"/>
          </w:p>
        </w:tc>
        <w:tc>
          <w:tcPr>
            <w:tcW w:w="0" w:type="auto"/>
            <w:vAlign w:val="center"/>
          </w:tcPr>
          <w:p w14:paraId="039755FD"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安全耐久</w:t>
            </w:r>
          </w:p>
        </w:tc>
        <w:tc>
          <w:tcPr>
            <w:tcW w:w="0" w:type="auto"/>
            <w:vAlign w:val="center"/>
          </w:tcPr>
          <w:p w14:paraId="5FCA72EC"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健康舒适</w:t>
            </w:r>
          </w:p>
        </w:tc>
        <w:tc>
          <w:tcPr>
            <w:tcW w:w="0" w:type="auto"/>
            <w:vAlign w:val="center"/>
          </w:tcPr>
          <w:p w14:paraId="74A7A16C"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生活便利</w:t>
            </w:r>
          </w:p>
        </w:tc>
        <w:tc>
          <w:tcPr>
            <w:tcW w:w="0" w:type="auto"/>
            <w:vAlign w:val="center"/>
          </w:tcPr>
          <w:p w14:paraId="5DE89655"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资源节约</w:t>
            </w:r>
          </w:p>
        </w:tc>
        <w:tc>
          <w:tcPr>
            <w:tcW w:w="0" w:type="auto"/>
            <w:vAlign w:val="center"/>
          </w:tcPr>
          <w:p w14:paraId="3EDC1C83"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环境宜居</w:t>
            </w:r>
          </w:p>
        </w:tc>
        <w:tc>
          <w:tcPr>
            <w:tcW w:w="0" w:type="auto"/>
            <w:vAlign w:val="center"/>
          </w:tcPr>
          <w:p w14:paraId="1D3E9B11"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加分项</w:t>
            </w:r>
          </w:p>
        </w:tc>
      </w:tr>
      <w:tr w:rsidR="00356770" w:rsidRPr="00356770" w14:paraId="1B7B02F2" w14:textId="77777777">
        <w:tc>
          <w:tcPr>
            <w:tcW w:w="0" w:type="auto"/>
            <w:vAlign w:val="center"/>
          </w:tcPr>
          <w:p w14:paraId="0B51F849" w14:textId="77777777" w:rsidR="000009FC" w:rsidRPr="00356770" w:rsidRDefault="00943DD9">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p>
        </w:tc>
        <w:tc>
          <w:tcPr>
            <w:tcW w:w="0" w:type="auto"/>
            <w:vAlign w:val="center"/>
          </w:tcPr>
          <w:p w14:paraId="62AEBF4A" w14:textId="65134B06" w:rsidR="000009FC" w:rsidRPr="00356770" w:rsidRDefault="0059742B">
            <w:pPr>
              <w:jc w:val="center"/>
              <w:rPr>
                <w:rFonts w:asciiTheme="majorEastAsia" w:eastAsiaTheme="majorEastAsia" w:hAnsiTheme="majorEastAsia" w:cstheme="majorEastAsia"/>
                <w:color w:val="0D0D0D" w:themeColor="text1" w:themeTint="F2"/>
                <w:szCs w:val="21"/>
              </w:rPr>
            </w:pPr>
            <w:r>
              <w:rPr>
                <w:rFonts w:asciiTheme="majorEastAsia" w:eastAsiaTheme="majorEastAsia" w:hAnsiTheme="majorEastAsia" w:cstheme="majorEastAsia"/>
                <w:color w:val="0D0D0D" w:themeColor="text1" w:themeTint="F2"/>
                <w:szCs w:val="21"/>
              </w:rPr>
              <w:t>620</w:t>
            </w:r>
          </w:p>
        </w:tc>
        <w:tc>
          <w:tcPr>
            <w:tcW w:w="0" w:type="auto"/>
            <w:vAlign w:val="center"/>
          </w:tcPr>
          <w:p w14:paraId="64ED719E"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100</w:t>
            </w:r>
          </w:p>
        </w:tc>
        <w:tc>
          <w:tcPr>
            <w:tcW w:w="0" w:type="auto"/>
            <w:vAlign w:val="center"/>
          </w:tcPr>
          <w:p w14:paraId="042C9E48"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100</w:t>
            </w:r>
          </w:p>
        </w:tc>
        <w:tc>
          <w:tcPr>
            <w:tcW w:w="0" w:type="auto"/>
            <w:vAlign w:val="center"/>
          </w:tcPr>
          <w:p w14:paraId="3EC0E881" w14:textId="7F6A04F9" w:rsidR="000009FC" w:rsidRPr="00356770" w:rsidRDefault="0059742B">
            <w:pPr>
              <w:jc w:val="center"/>
              <w:rPr>
                <w:rFonts w:asciiTheme="majorEastAsia" w:eastAsiaTheme="majorEastAsia" w:hAnsiTheme="majorEastAsia" w:cstheme="majorEastAsia"/>
                <w:color w:val="0D0D0D" w:themeColor="text1" w:themeTint="F2"/>
                <w:szCs w:val="21"/>
              </w:rPr>
            </w:pPr>
            <w:r>
              <w:rPr>
                <w:rFonts w:asciiTheme="majorEastAsia" w:eastAsiaTheme="majorEastAsia" w:hAnsiTheme="majorEastAsia" w:cstheme="majorEastAsia"/>
                <w:color w:val="0D0D0D" w:themeColor="text1" w:themeTint="F2"/>
                <w:szCs w:val="21"/>
              </w:rPr>
              <w:t>100</w:t>
            </w:r>
          </w:p>
        </w:tc>
        <w:tc>
          <w:tcPr>
            <w:tcW w:w="0" w:type="auto"/>
            <w:vAlign w:val="center"/>
          </w:tcPr>
          <w:p w14:paraId="09A4671F" w14:textId="409AEC6A"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0059742B">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0</w:t>
            </w:r>
          </w:p>
        </w:tc>
        <w:tc>
          <w:tcPr>
            <w:tcW w:w="0" w:type="auto"/>
            <w:vAlign w:val="center"/>
          </w:tcPr>
          <w:p w14:paraId="0314C3F7"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100</w:t>
            </w:r>
          </w:p>
        </w:tc>
        <w:tc>
          <w:tcPr>
            <w:tcW w:w="0" w:type="auto"/>
            <w:vAlign w:val="center"/>
          </w:tcPr>
          <w:p w14:paraId="4EAE9AF2"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100</w:t>
            </w:r>
          </w:p>
        </w:tc>
      </w:tr>
      <w:tr w:rsidR="00356770" w:rsidRPr="00356770" w14:paraId="5379E650" w14:textId="77777777">
        <w:tc>
          <w:tcPr>
            <w:tcW w:w="0" w:type="auto"/>
            <w:vAlign w:val="center"/>
          </w:tcPr>
          <w:p w14:paraId="592CBDE7"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分项控制分</w:t>
            </w:r>
          </w:p>
        </w:tc>
        <w:tc>
          <w:tcPr>
            <w:tcW w:w="0" w:type="auto"/>
            <w:vAlign w:val="center"/>
          </w:tcPr>
          <w:p w14:paraId="247E2568"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400</w:t>
            </w:r>
          </w:p>
        </w:tc>
        <w:tc>
          <w:tcPr>
            <w:tcW w:w="0" w:type="auto"/>
            <w:vAlign w:val="center"/>
          </w:tcPr>
          <w:p w14:paraId="166DBC22" w14:textId="23521AFC" w:rsidR="000009FC" w:rsidRPr="00356770" w:rsidRDefault="00CD02A2">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68</w:t>
            </w:r>
          </w:p>
        </w:tc>
        <w:tc>
          <w:tcPr>
            <w:tcW w:w="0" w:type="auto"/>
            <w:vAlign w:val="center"/>
          </w:tcPr>
          <w:p w14:paraId="0AD7246B"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30</w:t>
            </w:r>
          </w:p>
        </w:tc>
        <w:tc>
          <w:tcPr>
            <w:tcW w:w="0" w:type="auto"/>
            <w:vAlign w:val="center"/>
          </w:tcPr>
          <w:p w14:paraId="7A9CDBF5"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21</w:t>
            </w:r>
          </w:p>
        </w:tc>
        <w:tc>
          <w:tcPr>
            <w:tcW w:w="0" w:type="auto"/>
            <w:vAlign w:val="center"/>
          </w:tcPr>
          <w:p w14:paraId="6EAF43F5"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60</w:t>
            </w:r>
          </w:p>
        </w:tc>
        <w:tc>
          <w:tcPr>
            <w:tcW w:w="0" w:type="auto"/>
            <w:vAlign w:val="center"/>
          </w:tcPr>
          <w:p w14:paraId="54CEF4E1"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30</w:t>
            </w:r>
          </w:p>
        </w:tc>
        <w:tc>
          <w:tcPr>
            <w:tcW w:w="0" w:type="auto"/>
            <w:vAlign w:val="center"/>
          </w:tcPr>
          <w:p w14:paraId="229544B7" w14:textId="30320D42" w:rsidR="000009FC" w:rsidRPr="00356770" w:rsidRDefault="0059742B">
            <w:pPr>
              <w:jc w:val="center"/>
              <w:rPr>
                <w:rFonts w:asciiTheme="majorEastAsia" w:eastAsiaTheme="majorEastAsia" w:hAnsiTheme="majorEastAsia" w:cstheme="majorEastAsia"/>
                <w:color w:val="0D0D0D" w:themeColor="text1" w:themeTint="F2"/>
                <w:szCs w:val="21"/>
              </w:rPr>
            </w:pPr>
            <w:r>
              <w:rPr>
                <w:rFonts w:asciiTheme="majorEastAsia" w:eastAsiaTheme="majorEastAsia" w:hAnsiTheme="majorEastAsia" w:cstheme="majorEastAsia" w:hint="eastAsia"/>
                <w:color w:val="0D0D0D" w:themeColor="text1" w:themeTint="F2"/>
                <w:szCs w:val="21"/>
              </w:rPr>
              <w:t>0</w:t>
            </w:r>
          </w:p>
        </w:tc>
      </w:tr>
      <w:tr w:rsidR="000009FC" w:rsidRPr="00356770" w14:paraId="3818DBA7" w14:textId="77777777">
        <w:tc>
          <w:tcPr>
            <w:tcW w:w="0" w:type="auto"/>
            <w:vAlign w:val="center"/>
          </w:tcPr>
          <w:p w14:paraId="06856FFF"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自评得分</w:t>
            </w:r>
          </w:p>
        </w:tc>
        <w:tc>
          <w:tcPr>
            <w:tcW w:w="0" w:type="auto"/>
            <w:vAlign w:val="center"/>
          </w:tcPr>
          <w:p w14:paraId="48263073" w14:textId="735DC59B" w:rsidR="000009FC" w:rsidRPr="00356770" w:rsidRDefault="00356770">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0059742B">
              <w:rPr>
                <w:rFonts w:asciiTheme="majorEastAsia" w:eastAsiaTheme="majorEastAsia" w:hAnsiTheme="majorEastAsia" w:cstheme="majorEastAsia"/>
                <w:color w:val="0D0D0D" w:themeColor="text1" w:themeTint="F2"/>
                <w:szCs w:val="21"/>
              </w:rPr>
              <w:t>36</w:t>
            </w:r>
          </w:p>
        </w:tc>
        <w:tc>
          <w:tcPr>
            <w:tcW w:w="0" w:type="auto"/>
            <w:vAlign w:val="center"/>
          </w:tcPr>
          <w:p w14:paraId="7C1D890F" w14:textId="0F03D81B" w:rsidR="000009FC" w:rsidRPr="00356770" w:rsidRDefault="00356770">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7</w:t>
            </w:r>
            <w:r w:rsidRPr="00356770">
              <w:rPr>
                <w:rFonts w:asciiTheme="majorEastAsia" w:eastAsiaTheme="majorEastAsia" w:hAnsiTheme="majorEastAsia" w:cstheme="majorEastAsia"/>
                <w:color w:val="0D0D0D" w:themeColor="text1" w:themeTint="F2"/>
                <w:szCs w:val="21"/>
              </w:rPr>
              <w:t>3</w:t>
            </w:r>
          </w:p>
        </w:tc>
        <w:tc>
          <w:tcPr>
            <w:tcW w:w="0" w:type="auto"/>
            <w:vAlign w:val="center"/>
          </w:tcPr>
          <w:p w14:paraId="14200A20" w14:textId="07173BF2" w:rsidR="000009FC" w:rsidRPr="00356770" w:rsidRDefault="00356770">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73</w:t>
            </w:r>
          </w:p>
        </w:tc>
        <w:tc>
          <w:tcPr>
            <w:tcW w:w="0" w:type="auto"/>
            <w:vAlign w:val="center"/>
          </w:tcPr>
          <w:p w14:paraId="2C3122E7" w14:textId="21B0390C" w:rsidR="000009FC" w:rsidRPr="00356770" w:rsidRDefault="0059742B">
            <w:pPr>
              <w:jc w:val="center"/>
              <w:rPr>
                <w:rFonts w:asciiTheme="majorEastAsia" w:eastAsiaTheme="majorEastAsia" w:hAnsiTheme="majorEastAsia" w:cstheme="majorEastAsia"/>
                <w:color w:val="0D0D0D" w:themeColor="text1" w:themeTint="F2"/>
                <w:szCs w:val="21"/>
              </w:rPr>
            </w:pPr>
            <w:r>
              <w:rPr>
                <w:rFonts w:asciiTheme="majorEastAsia" w:eastAsiaTheme="majorEastAsia" w:hAnsiTheme="majorEastAsia" w:cstheme="majorEastAsia"/>
                <w:color w:val="0D0D0D" w:themeColor="text1" w:themeTint="F2"/>
                <w:szCs w:val="21"/>
              </w:rPr>
              <w:t>71</w:t>
            </w:r>
          </w:p>
        </w:tc>
        <w:tc>
          <w:tcPr>
            <w:tcW w:w="0" w:type="auto"/>
            <w:vAlign w:val="center"/>
          </w:tcPr>
          <w:p w14:paraId="7414B103" w14:textId="1E39841F" w:rsidR="000009FC" w:rsidRPr="00356770" w:rsidRDefault="00356770">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109</w:t>
            </w:r>
          </w:p>
        </w:tc>
        <w:tc>
          <w:tcPr>
            <w:tcW w:w="0" w:type="auto"/>
            <w:vAlign w:val="center"/>
          </w:tcPr>
          <w:p w14:paraId="58D7A9AA" w14:textId="01238018" w:rsidR="000009FC" w:rsidRPr="00356770" w:rsidRDefault="00356770">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50</w:t>
            </w:r>
          </w:p>
        </w:tc>
        <w:tc>
          <w:tcPr>
            <w:tcW w:w="0" w:type="auto"/>
            <w:vAlign w:val="center"/>
          </w:tcPr>
          <w:p w14:paraId="6494B60C" w14:textId="4829F99E" w:rsidR="000009FC" w:rsidRPr="00356770" w:rsidRDefault="00356770">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60</w:t>
            </w:r>
          </w:p>
        </w:tc>
      </w:tr>
    </w:tbl>
    <w:p w14:paraId="2CAF61B9" w14:textId="77777777" w:rsidR="000009FC" w:rsidRPr="00356770" w:rsidRDefault="000009FC">
      <w:pPr>
        <w:jc w:val="left"/>
        <w:rPr>
          <w:rFonts w:asciiTheme="majorEastAsia" w:eastAsiaTheme="majorEastAsia" w:hAnsiTheme="majorEastAsia" w:cstheme="majorEastAsia"/>
          <w:color w:val="0D0D0D" w:themeColor="text1" w:themeTint="F2"/>
          <w:szCs w:val="21"/>
        </w:rPr>
      </w:pPr>
    </w:p>
    <w:p w14:paraId="5F44B7B1" w14:textId="33139998" w:rsidR="000009FC" w:rsidRPr="00356770" w:rsidRDefault="00943DD9">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结论：本项目满足《绿色建筑评价标准》（GB／T50378-2019）所有控制项要求，即控制</w:t>
      </w:r>
      <w:proofErr w:type="gramStart"/>
      <w:r w:rsidRPr="00356770">
        <w:rPr>
          <w:rFonts w:asciiTheme="majorEastAsia" w:eastAsiaTheme="majorEastAsia" w:hAnsiTheme="majorEastAsia" w:cstheme="majorEastAsia" w:hint="eastAsia"/>
          <w:color w:val="0D0D0D" w:themeColor="text1" w:themeTint="F2"/>
          <w:szCs w:val="21"/>
        </w:rPr>
        <w:t>项基础</w:t>
      </w:r>
      <w:proofErr w:type="gramEnd"/>
      <w:r w:rsidRPr="00356770">
        <w:rPr>
          <w:rFonts w:asciiTheme="majorEastAsia" w:eastAsiaTheme="majorEastAsia" w:hAnsiTheme="majorEastAsia" w:cstheme="majorEastAsia" w:hint="eastAsia"/>
          <w:color w:val="0D0D0D" w:themeColor="text1" w:themeTint="F2"/>
          <w:szCs w:val="21"/>
        </w:rPr>
        <w:t>分为满分，达到绿色建筑基本级等级标准。通过对5类指标评分项及加分项进行评分，最终得</w:t>
      </w:r>
      <w:r w:rsidR="00356770" w:rsidRPr="00356770">
        <w:rPr>
          <w:rFonts w:asciiTheme="majorEastAsia" w:eastAsiaTheme="majorEastAsia" w:hAnsiTheme="majorEastAsia" w:cstheme="majorEastAsia"/>
          <w:color w:val="0D0D0D" w:themeColor="text1" w:themeTint="F2"/>
          <w:szCs w:val="21"/>
        </w:rPr>
        <w:t>8</w:t>
      </w:r>
      <w:r w:rsidR="00B343CF">
        <w:rPr>
          <w:rFonts w:asciiTheme="majorEastAsia" w:eastAsiaTheme="majorEastAsia" w:hAnsiTheme="majorEastAsia" w:cstheme="majorEastAsia"/>
          <w:color w:val="0D0D0D" w:themeColor="text1" w:themeTint="F2"/>
          <w:szCs w:val="21"/>
        </w:rPr>
        <w:t>2</w:t>
      </w:r>
      <w:r w:rsidR="00356770" w:rsidRPr="00356770">
        <w:rPr>
          <w:rFonts w:asciiTheme="majorEastAsia" w:eastAsiaTheme="majorEastAsia" w:hAnsiTheme="majorEastAsia" w:cstheme="majorEastAsia"/>
          <w:color w:val="0D0D0D" w:themeColor="text1" w:themeTint="F2"/>
          <w:szCs w:val="21"/>
        </w:rPr>
        <w:t>.</w:t>
      </w:r>
      <w:r w:rsidR="00B343CF">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分，本项目达到了</w:t>
      </w:r>
      <w:r w:rsidR="00356770" w:rsidRPr="00356770">
        <w:rPr>
          <w:rFonts w:asciiTheme="majorEastAsia" w:eastAsiaTheme="majorEastAsia" w:hAnsiTheme="majorEastAsia" w:cstheme="majorEastAsia" w:hint="eastAsia"/>
          <w:color w:val="0D0D0D" w:themeColor="text1" w:themeTint="F2"/>
          <w:szCs w:val="21"/>
        </w:rPr>
        <w:t>二</w:t>
      </w:r>
      <w:r w:rsidRPr="00356770">
        <w:rPr>
          <w:rFonts w:asciiTheme="majorEastAsia" w:eastAsiaTheme="majorEastAsia" w:hAnsiTheme="majorEastAsia" w:cstheme="majorEastAsia" w:hint="eastAsia"/>
          <w:color w:val="0D0D0D" w:themeColor="text1" w:themeTint="F2"/>
          <w:szCs w:val="21"/>
        </w:rPr>
        <w:t>级星级标准。</w:t>
      </w:r>
    </w:p>
    <w:p w14:paraId="6A47F80F"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p w14:paraId="660453D4"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 xml:space="preserve">附录A </w:t>
      </w:r>
      <w:r w:rsidRPr="00356770">
        <w:rPr>
          <w:rFonts w:asciiTheme="majorEastAsia" w:eastAsiaTheme="majorEastAsia" w:hAnsiTheme="majorEastAsia" w:cstheme="majorEastAsia"/>
          <w:b/>
          <w:bCs/>
          <w:color w:val="0D0D0D" w:themeColor="text1" w:themeTint="F2"/>
          <w:szCs w:val="21"/>
        </w:rPr>
        <w:t>基本级及星级绿色建筑控制项评价</w:t>
      </w:r>
    </w:p>
    <w:p w14:paraId="4F10D9EF"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 xml:space="preserve">表A-1 </w:t>
      </w:r>
      <w:r w:rsidRPr="00356770">
        <w:rPr>
          <w:rFonts w:asciiTheme="majorEastAsia" w:eastAsiaTheme="majorEastAsia" w:hAnsiTheme="majorEastAsia" w:cstheme="majorEastAsia" w:hint="eastAsia"/>
          <w:b/>
          <w:bCs/>
          <w:color w:val="0D0D0D" w:themeColor="text1" w:themeTint="F2"/>
          <w:szCs w:val="21"/>
        </w:rPr>
        <w:t>安全耐久</w:t>
      </w:r>
    </w:p>
    <w:tbl>
      <w:tblPr>
        <w:tblStyle w:val="a3"/>
        <w:tblW w:w="4997" w:type="pct"/>
        <w:tblLook w:val="04A0" w:firstRow="1" w:lastRow="0" w:firstColumn="1" w:lastColumn="0" w:noHBand="0" w:noVBand="1"/>
      </w:tblPr>
      <w:tblGrid>
        <w:gridCol w:w="435"/>
        <w:gridCol w:w="1091"/>
        <w:gridCol w:w="2276"/>
        <w:gridCol w:w="25"/>
        <w:gridCol w:w="2312"/>
        <w:gridCol w:w="1818"/>
        <w:gridCol w:w="1054"/>
      </w:tblGrid>
      <w:tr w:rsidR="00356770" w:rsidRPr="00356770" w14:paraId="4217FFAD" w14:textId="77777777" w:rsidTr="00DF1AFE">
        <w:tc>
          <w:tcPr>
            <w:tcW w:w="2109" w:type="pct"/>
            <w:gridSpan w:val="3"/>
            <w:vAlign w:val="center"/>
          </w:tcPr>
          <w:p w14:paraId="54859192"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标准条文</w:t>
            </w:r>
          </w:p>
        </w:tc>
        <w:tc>
          <w:tcPr>
            <w:tcW w:w="1297" w:type="pct"/>
            <w:gridSpan w:val="2"/>
            <w:vAlign w:val="center"/>
          </w:tcPr>
          <w:p w14:paraId="232E6F86"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1009" w:type="pct"/>
            <w:vAlign w:val="center"/>
          </w:tcPr>
          <w:p w14:paraId="47792738"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评价方法</w:t>
            </w:r>
          </w:p>
        </w:tc>
        <w:tc>
          <w:tcPr>
            <w:tcW w:w="584" w:type="pct"/>
            <w:vAlign w:val="center"/>
          </w:tcPr>
          <w:p w14:paraId="0DE26A63"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w:t>
            </w:r>
          </w:p>
        </w:tc>
      </w:tr>
      <w:tr w:rsidR="00356770" w:rsidRPr="00356770" w14:paraId="7BC1EC7D" w14:textId="77777777" w:rsidTr="00DF1AFE">
        <w:tc>
          <w:tcPr>
            <w:tcW w:w="241" w:type="pct"/>
            <w:vMerge w:val="restart"/>
            <w:vAlign w:val="center"/>
          </w:tcPr>
          <w:p w14:paraId="2DB87407"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w:t>
            </w:r>
          </w:p>
          <w:p w14:paraId="184804C4"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制</w:t>
            </w:r>
          </w:p>
          <w:p w14:paraId="1DEB8CFA"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5" w:type="pct"/>
            <w:vAlign w:val="center"/>
          </w:tcPr>
          <w:p w14:paraId="708C0804"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w:t>
            </w:r>
          </w:p>
        </w:tc>
        <w:tc>
          <w:tcPr>
            <w:tcW w:w="1263" w:type="pct"/>
            <w:vAlign w:val="center"/>
          </w:tcPr>
          <w:p w14:paraId="471C804E"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条文内容</w:t>
            </w:r>
          </w:p>
        </w:tc>
        <w:tc>
          <w:tcPr>
            <w:tcW w:w="1297" w:type="pct"/>
            <w:gridSpan w:val="2"/>
            <w:vAlign w:val="center"/>
          </w:tcPr>
          <w:p w14:paraId="2B731E1C" w14:textId="39F18BA6"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w:t>
            </w:r>
          </w:p>
        </w:tc>
        <w:tc>
          <w:tcPr>
            <w:tcW w:w="1009" w:type="pct"/>
            <w:vAlign w:val="center"/>
          </w:tcPr>
          <w:p w14:paraId="7A56CF9E" w14:textId="3A3CB9A4"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w:t>
            </w:r>
          </w:p>
        </w:tc>
        <w:tc>
          <w:tcPr>
            <w:tcW w:w="584" w:type="pct"/>
            <w:vAlign w:val="center"/>
          </w:tcPr>
          <w:p w14:paraId="6F67CA1F" w14:textId="77777777" w:rsidR="00DF1AFE" w:rsidRPr="00356770" w:rsidRDefault="00DF1AFE">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满足或不满足</w:t>
            </w:r>
          </w:p>
        </w:tc>
      </w:tr>
      <w:tr w:rsidR="00356770" w:rsidRPr="00356770" w14:paraId="611859FC" w14:textId="77777777" w:rsidTr="00DF1AFE">
        <w:tc>
          <w:tcPr>
            <w:tcW w:w="241" w:type="pct"/>
            <w:vMerge/>
            <w:vAlign w:val="center"/>
          </w:tcPr>
          <w:p w14:paraId="599A6089"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12763B9E"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4.1.1</w:t>
            </w:r>
          </w:p>
        </w:tc>
        <w:tc>
          <w:tcPr>
            <w:tcW w:w="1263" w:type="pct"/>
            <w:vAlign w:val="center"/>
          </w:tcPr>
          <w:p w14:paraId="5CD9D9B0" w14:textId="2391CBFC"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场地应避开滑坡、泥石流等地质危险地段，易发生洪涝地区应有可靠的防洪涝基础设施;场地应无危险化学品、易燃易爆危险源的威胁，应无电磁辐射、含氨土壤的危害。</w:t>
            </w:r>
          </w:p>
        </w:tc>
        <w:tc>
          <w:tcPr>
            <w:tcW w:w="1297" w:type="pct"/>
            <w:gridSpan w:val="2"/>
            <w:vAlign w:val="center"/>
          </w:tcPr>
          <w:p w14:paraId="15162932" w14:textId="77777777" w:rsidR="00DF1AFE" w:rsidRPr="00356770" w:rsidRDefault="00DF1AFE" w:rsidP="00DF1AFE">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建筑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安全标准。 </w:t>
            </w:r>
          </w:p>
          <w:p w14:paraId="2C81251B" w14:textId="16C0C635"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场地的防洪设计应符合现行国家标准《防洪标准》 GB50201 和《城市防洪工程设计规范》 GB/T 50805 的有关规定，选址尚应符合现行国家标准《城市抗震防灾规划标准》 GB50143 和《建筑抗震设计规范》 GB 50011 的规定；电磁辐射应符合现行国家标准《电磁环境控制限值》 GB 8702 的有关规定；土壤中</w:t>
            </w:r>
            <w:proofErr w:type="gramStart"/>
            <w:r w:rsidRPr="00356770">
              <w:rPr>
                <w:rFonts w:asciiTheme="majorEastAsia" w:eastAsiaTheme="majorEastAsia" w:hAnsiTheme="majorEastAsia" w:cstheme="majorEastAsia"/>
                <w:color w:val="0D0D0D" w:themeColor="text1" w:themeTint="F2"/>
                <w:szCs w:val="21"/>
              </w:rPr>
              <w:t>氛</w:t>
            </w:r>
            <w:proofErr w:type="gramEnd"/>
            <w:r w:rsidRPr="00356770">
              <w:rPr>
                <w:rFonts w:asciiTheme="majorEastAsia" w:eastAsiaTheme="majorEastAsia" w:hAnsiTheme="majorEastAsia" w:cstheme="majorEastAsia"/>
                <w:color w:val="0D0D0D" w:themeColor="text1" w:themeTint="F2"/>
                <w:szCs w:val="21"/>
              </w:rPr>
              <w:t>浓度的控制应符合现行国家标准《民用建筑工程室内环境污染控制规范》 GB 50325 的有关规定；场地及周</w:t>
            </w:r>
            <w:r w:rsidRPr="00356770">
              <w:rPr>
                <w:rFonts w:asciiTheme="majorEastAsia" w:eastAsiaTheme="majorEastAsia" w:hAnsiTheme="majorEastAsia" w:cstheme="majorEastAsia"/>
                <w:color w:val="0D0D0D" w:themeColor="text1" w:themeTint="F2"/>
                <w:szCs w:val="21"/>
              </w:rPr>
              <w:lastRenderedPageBreak/>
              <w:t>边的加油站、加气站等危险源应满足国家现行相关标准中</w:t>
            </w:r>
            <w:proofErr w:type="gramStart"/>
            <w:r w:rsidRPr="00356770">
              <w:rPr>
                <w:rFonts w:asciiTheme="majorEastAsia" w:eastAsiaTheme="majorEastAsia" w:hAnsiTheme="majorEastAsia" w:cstheme="majorEastAsia"/>
                <w:color w:val="0D0D0D" w:themeColor="text1" w:themeTint="F2"/>
                <w:szCs w:val="21"/>
              </w:rPr>
              <w:t>关千安全</w:t>
            </w:r>
            <w:proofErr w:type="gramEnd"/>
            <w:r w:rsidRPr="00356770">
              <w:rPr>
                <w:rFonts w:asciiTheme="majorEastAsia" w:eastAsiaTheme="majorEastAsia" w:hAnsiTheme="majorEastAsia" w:cstheme="majorEastAsia"/>
                <w:color w:val="0D0D0D" w:themeColor="text1" w:themeTint="F2"/>
                <w:szCs w:val="21"/>
              </w:rPr>
              <w:t>防护距离等的控制要求。</w:t>
            </w:r>
          </w:p>
        </w:tc>
        <w:tc>
          <w:tcPr>
            <w:tcW w:w="1009" w:type="pct"/>
            <w:vAlign w:val="center"/>
          </w:tcPr>
          <w:p w14:paraId="74944A6B" w14:textId="77777777" w:rsidR="00DF1AFE" w:rsidRPr="00356770" w:rsidRDefault="00DF1AFE" w:rsidP="00DF1AFE">
            <w:pPr>
              <w:ind w:firstLineChars="100" w:firstLine="210"/>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 xml:space="preserve">查阅项目区位图、场地地形图、 勘察报告、环评报告、相关检测报告或论证报告；评价查阅项目 </w:t>
            </w:r>
          </w:p>
          <w:p w14:paraId="7179536C" w14:textId="77F7D2A5" w:rsidR="00DF1AFE" w:rsidRPr="00356770" w:rsidRDefault="00DF1AFE" w:rsidP="00DF1AFE">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区位图、场地地形图、勘察报告、环评报告、相关检测报告或论证报告。</w:t>
            </w:r>
          </w:p>
        </w:tc>
        <w:tc>
          <w:tcPr>
            <w:tcW w:w="584" w:type="pct"/>
            <w:vAlign w:val="center"/>
          </w:tcPr>
          <w:p w14:paraId="56825589" w14:textId="648E2D61"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93A3F74" w14:textId="77777777" w:rsidTr="00DF1AFE">
        <w:tc>
          <w:tcPr>
            <w:tcW w:w="241" w:type="pct"/>
            <w:vMerge/>
            <w:vAlign w:val="center"/>
          </w:tcPr>
          <w:p w14:paraId="7E4103FE"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1F43133F"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4.1.2</w:t>
            </w:r>
          </w:p>
        </w:tc>
        <w:tc>
          <w:tcPr>
            <w:tcW w:w="1263" w:type="pct"/>
            <w:vAlign w:val="center"/>
          </w:tcPr>
          <w:p w14:paraId="6B4627FC" w14:textId="4AB1E0D6"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建筑结构应满足承载力和建筑使用功能要求。建筑外墙屋面、门窗、幕墙及外保温等围护结构应满足安全、耐久和防护的要求。</w:t>
            </w:r>
          </w:p>
        </w:tc>
        <w:tc>
          <w:tcPr>
            <w:tcW w:w="1297" w:type="pct"/>
            <w:gridSpan w:val="2"/>
            <w:vAlign w:val="center"/>
          </w:tcPr>
          <w:p w14:paraId="3D6FD2B5" w14:textId="77777777" w:rsidR="00DF1AFE" w:rsidRPr="00356770" w:rsidRDefault="00DF1AFE" w:rsidP="00DF1AFE">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结构设计应满足承载能力极限状态计算和正常使用极限状态验算的要求，并应符合国家现行相关标准的规定</w:t>
            </w:r>
            <w:r w:rsidRPr="00356770">
              <w:rPr>
                <w:rFonts w:asciiTheme="majorEastAsia" w:eastAsiaTheme="majorEastAsia" w:hAnsiTheme="majorEastAsia" w:cstheme="majorEastAsia" w:hint="eastAsia"/>
                <w:color w:val="0D0D0D" w:themeColor="text1" w:themeTint="F2"/>
                <w:szCs w:val="21"/>
              </w:rPr>
              <w:t>。</w:t>
            </w:r>
          </w:p>
          <w:p w14:paraId="05F335E3"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同时， 针对建筑运行期内可能出现地基不均匀沉降、使用环境影响导致 的钢材锈蚀等影响结构安全的问题，应定期对结构进行检查、维护与管理。</w:t>
            </w:r>
          </w:p>
          <w:p w14:paraId="7D78CF0D" w14:textId="79164FBD" w:rsidR="00DF1AFE" w:rsidRPr="00356770" w:rsidRDefault="00DF1AFE" w:rsidP="00DF1AFE">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建筑外墙、屋面、门窗、幕墙及外保温等围护结构应满足安全、耐久和防护要求，与建筑主体结构连接可靠，且能适合主体结构</w:t>
            </w:r>
            <w:proofErr w:type="gramStart"/>
            <w:r w:rsidRPr="00356770">
              <w:rPr>
                <w:rFonts w:asciiTheme="majorEastAsia" w:eastAsiaTheme="majorEastAsia" w:hAnsiTheme="majorEastAsia" w:cstheme="majorEastAsia"/>
                <w:color w:val="0D0D0D" w:themeColor="text1" w:themeTint="F2"/>
                <w:szCs w:val="21"/>
              </w:rPr>
              <w:t>在多遇地震</w:t>
            </w:r>
            <w:proofErr w:type="gramEnd"/>
            <w:r w:rsidRPr="00356770">
              <w:rPr>
                <w:rFonts w:asciiTheme="majorEastAsia" w:eastAsiaTheme="majorEastAsia" w:hAnsiTheme="majorEastAsia" w:cstheme="majorEastAsia"/>
                <w:color w:val="0D0D0D" w:themeColor="text1" w:themeTint="F2"/>
                <w:szCs w:val="21"/>
              </w:rPr>
              <w:t>及各种荷载作用下的变形。</w:t>
            </w:r>
          </w:p>
        </w:tc>
        <w:tc>
          <w:tcPr>
            <w:tcW w:w="1009" w:type="pct"/>
            <w:vAlign w:val="center"/>
          </w:tcPr>
          <w:p w14:paraId="1EAC2421" w14:textId="2CCE253A" w:rsidR="00DF1AFE" w:rsidRPr="00356770" w:rsidRDefault="00DF1AFE" w:rsidP="00DF1AFE">
            <w:pPr>
              <w:ind w:firstLineChars="100" w:firstLine="210"/>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w:t>
            </w:r>
            <w:proofErr w:type="gramStart"/>
            <w:r w:rsidRPr="00356770">
              <w:rPr>
                <w:rFonts w:asciiTheme="majorEastAsia" w:eastAsiaTheme="majorEastAsia" w:hAnsiTheme="majorEastAsia" w:cstheme="majorEastAsia"/>
                <w:color w:val="0D0D0D" w:themeColor="text1" w:themeTint="F2"/>
                <w:szCs w:val="21"/>
              </w:rPr>
              <w:t>含设计</w:t>
            </w:r>
            <w:proofErr w:type="gramEnd"/>
            <w:r w:rsidRPr="00356770">
              <w:rPr>
                <w:rFonts w:asciiTheme="majorEastAsia" w:eastAsiaTheme="majorEastAsia" w:hAnsiTheme="majorEastAsia" w:cstheme="majorEastAsia"/>
                <w:color w:val="0D0D0D" w:themeColor="text1" w:themeTint="F2"/>
                <w:szCs w:val="21"/>
              </w:rPr>
              <w:t>说明、计算书等）；评价查阅相关竣工图（</w:t>
            </w:r>
            <w:proofErr w:type="gramStart"/>
            <w:r w:rsidRPr="00356770">
              <w:rPr>
                <w:rFonts w:asciiTheme="majorEastAsia" w:eastAsiaTheme="majorEastAsia" w:hAnsiTheme="majorEastAsia" w:cstheme="majorEastAsia"/>
                <w:color w:val="0D0D0D" w:themeColor="text1" w:themeTint="F2"/>
                <w:szCs w:val="21"/>
              </w:rPr>
              <w:t>含设计</w:t>
            </w:r>
            <w:proofErr w:type="gramEnd"/>
            <w:r w:rsidRPr="00356770">
              <w:rPr>
                <w:rFonts w:asciiTheme="majorEastAsia" w:eastAsiaTheme="majorEastAsia" w:hAnsiTheme="majorEastAsia" w:cstheme="majorEastAsia"/>
                <w:color w:val="0D0D0D" w:themeColor="text1" w:themeTint="F2"/>
                <w:szCs w:val="21"/>
              </w:rPr>
              <w:t>说明、计算书等）。</w:t>
            </w:r>
          </w:p>
        </w:tc>
        <w:tc>
          <w:tcPr>
            <w:tcW w:w="584" w:type="pct"/>
            <w:vAlign w:val="center"/>
          </w:tcPr>
          <w:p w14:paraId="4CF2C9F3" w14:textId="1E26B145"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72624BC9" w14:textId="77777777" w:rsidTr="00DF1AFE">
        <w:tc>
          <w:tcPr>
            <w:tcW w:w="241" w:type="pct"/>
            <w:vMerge/>
            <w:vAlign w:val="center"/>
          </w:tcPr>
          <w:p w14:paraId="6AA10640"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3E79BF89" w14:textId="29FE7E8C"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w:t>
            </w:r>
            <w:r w:rsidRPr="00356770">
              <w:rPr>
                <w:rFonts w:asciiTheme="majorEastAsia" w:eastAsiaTheme="majorEastAsia" w:hAnsiTheme="majorEastAsia" w:cstheme="majorEastAsia"/>
                <w:color w:val="0D0D0D" w:themeColor="text1" w:themeTint="F2"/>
                <w:szCs w:val="21"/>
              </w:rPr>
              <w:t>3</w:t>
            </w:r>
          </w:p>
        </w:tc>
        <w:tc>
          <w:tcPr>
            <w:tcW w:w="1263" w:type="pct"/>
            <w:vAlign w:val="center"/>
          </w:tcPr>
          <w:p w14:paraId="5FB5AF07" w14:textId="722AA00C"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外遮阳、太阳能设施、空调室外机位、外墙花池等外部设施应与建筑主体结构统一设计、施工，并应具备安装、检修与维护条件。</w:t>
            </w:r>
          </w:p>
        </w:tc>
        <w:tc>
          <w:tcPr>
            <w:tcW w:w="1297" w:type="pct"/>
            <w:gridSpan w:val="2"/>
            <w:vAlign w:val="center"/>
          </w:tcPr>
          <w:p w14:paraId="4D6B54D8"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外遮阳、太阳能设施、空调室外机位、外墙花池等外部设施应与建筑主体结构统一设计、施工，确保连接可靠</w:t>
            </w:r>
            <w:r w:rsidRPr="00356770">
              <w:rPr>
                <w:rFonts w:asciiTheme="majorEastAsia" w:eastAsiaTheme="majorEastAsia" w:hAnsiTheme="majorEastAsia" w:cstheme="majorEastAsia" w:hint="eastAsia"/>
                <w:color w:val="0D0D0D" w:themeColor="text1" w:themeTint="F2"/>
                <w:szCs w:val="21"/>
              </w:rPr>
              <w:t>。</w:t>
            </w:r>
          </w:p>
          <w:p w14:paraId="58088B97" w14:textId="65827DD3"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外部设施需要定期检修和维护，因此在建筑设计时应考虑后期检修和维护条件，如设计检修通道、马道和吊篮</w:t>
            </w:r>
            <w:proofErr w:type="gramStart"/>
            <w:r w:rsidRPr="00356770">
              <w:rPr>
                <w:rFonts w:asciiTheme="majorEastAsia" w:eastAsiaTheme="majorEastAsia" w:hAnsiTheme="majorEastAsia" w:cstheme="majorEastAsia"/>
                <w:color w:val="0D0D0D" w:themeColor="text1" w:themeTint="F2"/>
                <w:szCs w:val="21"/>
              </w:rPr>
              <w:t>固定端</w:t>
            </w:r>
            <w:proofErr w:type="gramEnd"/>
            <w:r w:rsidRPr="00356770">
              <w:rPr>
                <w:rFonts w:asciiTheme="majorEastAsia" w:eastAsiaTheme="majorEastAsia" w:hAnsiTheme="majorEastAsia" w:cstheme="majorEastAsia"/>
                <w:color w:val="0D0D0D" w:themeColor="text1" w:themeTint="F2"/>
                <w:szCs w:val="21"/>
              </w:rPr>
              <w:t xml:space="preserve">等。当与主体结构不同时施工时，应设预埋件，并在设计文件中明确预 </w:t>
            </w:r>
            <w:proofErr w:type="gramStart"/>
            <w:r w:rsidRPr="00356770">
              <w:rPr>
                <w:rFonts w:asciiTheme="majorEastAsia" w:eastAsiaTheme="majorEastAsia" w:hAnsiTheme="majorEastAsia" w:cstheme="majorEastAsia"/>
                <w:color w:val="0D0D0D" w:themeColor="text1" w:themeTint="F2"/>
                <w:szCs w:val="21"/>
              </w:rPr>
              <w:t>埋件的</w:t>
            </w:r>
            <w:proofErr w:type="gramEnd"/>
            <w:r w:rsidRPr="00356770">
              <w:rPr>
                <w:rFonts w:asciiTheme="majorEastAsia" w:eastAsiaTheme="majorEastAsia" w:hAnsiTheme="majorEastAsia" w:cstheme="majorEastAsia"/>
                <w:color w:val="0D0D0D" w:themeColor="text1" w:themeTint="F2"/>
                <w:szCs w:val="21"/>
              </w:rPr>
              <w:t>检测验证参数及要求，确保其安全性与耐久性。</w:t>
            </w:r>
          </w:p>
        </w:tc>
        <w:tc>
          <w:tcPr>
            <w:tcW w:w="1009" w:type="pct"/>
            <w:vAlign w:val="center"/>
          </w:tcPr>
          <w:p w14:paraId="5ADFF6D9" w14:textId="648C03F2"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w:t>
            </w:r>
            <w:proofErr w:type="gramStart"/>
            <w:r w:rsidRPr="00356770">
              <w:rPr>
                <w:rFonts w:asciiTheme="majorEastAsia" w:eastAsiaTheme="majorEastAsia" w:hAnsiTheme="majorEastAsia" w:cstheme="majorEastAsia"/>
                <w:color w:val="0D0D0D" w:themeColor="text1" w:themeTint="F2"/>
                <w:szCs w:val="21"/>
              </w:rPr>
              <w:t>含设计</w:t>
            </w:r>
            <w:proofErr w:type="gramEnd"/>
            <w:r w:rsidRPr="00356770">
              <w:rPr>
                <w:rFonts w:asciiTheme="majorEastAsia" w:eastAsiaTheme="majorEastAsia" w:hAnsiTheme="majorEastAsia" w:cstheme="majorEastAsia"/>
                <w:color w:val="0D0D0D" w:themeColor="text1" w:themeTint="F2"/>
                <w:szCs w:val="21"/>
              </w:rPr>
              <w:t>说明、计算书等）；评价查阅相关竣工图（</w:t>
            </w:r>
            <w:proofErr w:type="gramStart"/>
            <w:r w:rsidRPr="00356770">
              <w:rPr>
                <w:rFonts w:asciiTheme="majorEastAsia" w:eastAsiaTheme="majorEastAsia" w:hAnsiTheme="majorEastAsia" w:cstheme="majorEastAsia"/>
                <w:color w:val="0D0D0D" w:themeColor="text1" w:themeTint="F2"/>
                <w:szCs w:val="21"/>
              </w:rPr>
              <w:t>含设计</w:t>
            </w:r>
            <w:proofErr w:type="gramEnd"/>
            <w:r w:rsidRPr="00356770">
              <w:rPr>
                <w:rFonts w:asciiTheme="majorEastAsia" w:eastAsiaTheme="majorEastAsia" w:hAnsiTheme="majorEastAsia" w:cstheme="majorEastAsia"/>
                <w:color w:val="0D0D0D" w:themeColor="text1" w:themeTint="F2"/>
                <w:szCs w:val="21"/>
              </w:rPr>
              <w:t>说明、计算书等）、检修和维护条件。</w:t>
            </w:r>
          </w:p>
        </w:tc>
        <w:tc>
          <w:tcPr>
            <w:tcW w:w="584" w:type="pct"/>
            <w:vAlign w:val="center"/>
          </w:tcPr>
          <w:p w14:paraId="5D0DB840" w14:textId="6E38E2B2"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657BDC41" w14:textId="77777777" w:rsidTr="00DF1AFE">
        <w:tc>
          <w:tcPr>
            <w:tcW w:w="241" w:type="pct"/>
            <w:vMerge/>
            <w:vAlign w:val="center"/>
          </w:tcPr>
          <w:p w14:paraId="064E7572"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0AFC3823" w14:textId="0F4A7F2F"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w:t>
            </w:r>
            <w:r w:rsidRPr="00356770">
              <w:rPr>
                <w:rFonts w:asciiTheme="majorEastAsia" w:eastAsiaTheme="majorEastAsia" w:hAnsiTheme="majorEastAsia" w:cstheme="majorEastAsia"/>
                <w:color w:val="0D0D0D" w:themeColor="text1" w:themeTint="F2"/>
                <w:szCs w:val="21"/>
              </w:rPr>
              <w:t>4</w:t>
            </w:r>
          </w:p>
        </w:tc>
        <w:tc>
          <w:tcPr>
            <w:tcW w:w="1263" w:type="pct"/>
            <w:vAlign w:val="center"/>
          </w:tcPr>
          <w:p w14:paraId="09024027" w14:textId="009B1FD2"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建筑内部的非结构构件、设备及附属设施等应连接牢固并能适应主体结构变形。</w:t>
            </w:r>
          </w:p>
        </w:tc>
        <w:tc>
          <w:tcPr>
            <w:tcW w:w="1297" w:type="pct"/>
            <w:gridSpan w:val="2"/>
            <w:vAlign w:val="center"/>
          </w:tcPr>
          <w:p w14:paraId="7B1EAC0E" w14:textId="77777777" w:rsidR="00DF1AFE" w:rsidRPr="00356770" w:rsidRDefault="00DF1AFE" w:rsidP="0061202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建筑内部非结构构件、设备及附属设施等应满足建筑使用的安全性。</w:t>
            </w:r>
          </w:p>
          <w:p w14:paraId="3663DCCE" w14:textId="0AF5CF2F" w:rsidR="00DF1AFE" w:rsidRPr="00356770" w:rsidRDefault="00DF1AFE" w:rsidP="0061202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建筑部品、非结构构件及附属设备等应采用机械固定、焊接、预埋等</w:t>
            </w:r>
            <w:r w:rsidRPr="00356770">
              <w:rPr>
                <w:rFonts w:asciiTheme="majorEastAsia" w:eastAsiaTheme="majorEastAsia" w:hAnsiTheme="majorEastAsia" w:cstheme="majorEastAsia"/>
                <w:color w:val="0D0D0D" w:themeColor="text1" w:themeTint="F2"/>
                <w:szCs w:val="21"/>
              </w:rPr>
              <w:lastRenderedPageBreak/>
              <w:t>牢固性构件连接方式或一体化建造方式与建筑主体结构可靠连接，防止由于个别构件破坏引起连续性破坏或倒塌。应注意的是，以膨胀螺栓、捆绑、支架等连接或安装方式均不能视为一体化措施。</w:t>
            </w:r>
          </w:p>
        </w:tc>
        <w:tc>
          <w:tcPr>
            <w:tcW w:w="1009" w:type="pct"/>
            <w:vAlign w:val="center"/>
          </w:tcPr>
          <w:p w14:paraId="301A8D00" w14:textId="4E0DEFA7"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查阅相关设计文件（含各连接件、配件、预埋件的力学性能及检测检验报告，计算书，施</w:t>
            </w:r>
            <w:r w:rsidRPr="00356770">
              <w:rPr>
                <w:rFonts w:asciiTheme="majorEastAsia" w:eastAsiaTheme="majorEastAsia" w:hAnsiTheme="majorEastAsia" w:cstheme="majorEastAsia"/>
                <w:color w:val="0D0D0D" w:themeColor="text1" w:themeTint="F2"/>
                <w:szCs w:val="21"/>
              </w:rPr>
              <w:lastRenderedPageBreak/>
              <w:t>工图）、产品设计要求等；评价查阅相关竣工图、材料决算清单、产品说明书、力学及耐久性能测试或试验报告。</w:t>
            </w:r>
          </w:p>
        </w:tc>
        <w:tc>
          <w:tcPr>
            <w:tcW w:w="584" w:type="pct"/>
            <w:vAlign w:val="center"/>
          </w:tcPr>
          <w:p w14:paraId="059FFB64" w14:textId="7C80A4A2"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lastRenderedPageBreak/>
              <w:t>满足</w:t>
            </w:r>
          </w:p>
        </w:tc>
      </w:tr>
      <w:tr w:rsidR="00356770" w:rsidRPr="00356770" w14:paraId="134C5A2F" w14:textId="77777777" w:rsidTr="00DF1AFE">
        <w:tc>
          <w:tcPr>
            <w:tcW w:w="241" w:type="pct"/>
            <w:vMerge/>
            <w:vAlign w:val="center"/>
          </w:tcPr>
          <w:p w14:paraId="420C8446"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753B4B44" w14:textId="24B98DC1"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w:t>
            </w:r>
            <w:r w:rsidRPr="00356770">
              <w:rPr>
                <w:rFonts w:asciiTheme="majorEastAsia" w:eastAsiaTheme="majorEastAsia" w:hAnsiTheme="majorEastAsia" w:cstheme="majorEastAsia"/>
                <w:color w:val="0D0D0D" w:themeColor="text1" w:themeTint="F2"/>
                <w:szCs w:val="21"/>
              </w:rPr>
              <w:t>5</w:t>
            </w:r>
          </w:p>
        </w:tc>
        <w:tc>
          <w:tcPr>
            <w:tcW w:w="1263" w:type="pct"/>
            <w:vAlign w:val="center"/>
          </w:tcPr>
          <w:p w14:paraId="7EC367BC" w14:textId="35CEDA1A"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建筑外门窗必须安装牢固，其抗风压性能和水密性能应符合国家现行有关标准的规定。</w:t>
            </w:r>
          </w:p>
        </w:tc>
        <w:tc>
          <w:tcPr>
            <w:tcW w:w="1297" w:type="pct"/>
            <w:gridSpan w:val="2"/>
            <w:vAlign w:val="center"/>
          </w:tcPr>
          <w:p w14:paraId="595EEFD4"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设计时外门窗应以满足不同气候及环境条件下的建筑物使用功能要求为目标，明确抗风压性能、水密性能指标和等 </w:t>
            </w:r>
          </w:p>
          <w:p w14:paraId="296F9734" w14:textId="2A23838A"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级，并应符合《塑料门窗工程技术规程》 JGJ 103 、《铝合金门窗工程技术规范》 JGJ 214 等现行相关标准的规定。</w:t>
            </w:r>
          </w:p>
        </w:tc>
        <w:tc>
          <w:tcPr>
            <w:tcW w:w="1009" w:type="pct"/>
            <w:vAlign w:val="center"/>
          </w:tcPr>
          <w:p w14:paraId="2F7A11B6" w14:textId="77777777" w:rsidR="00DF1AFE" w:rsidRPr="00356770" w:rsidRDefault="00DF1AFE"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查阅相关设计文件、门窗产品三性检测报告；评价查阅相关竣工图、门窗产品三性检测报告和外 </w:t>
            </w:r>
          </w:p>
          <w:p w14:paraId="39085BC4" w14:textId="79063F04"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窗现场三</w:t>
            </w:r>
            <w:proofErr w:type="gramEnd"/>
            <w:r w:rsidRPr="00356770">
              <w:rPr>
                <w:rFonts w:asciiTheme="majorEastAsia" w:eastAsiaTheme="majorEastAsia" w:hAnsiTheme="majorEastAsia" w:cstheme="majorEastAsia"/>
                <w:color w:val="0D0D0D" w:themeColor="text1" w:themeTint="F2"/>
                <w:szCs w:val="21"/>
              </w:rPr>
              <w:t>性检测报告、施工</w:t>
            </w:r>
            <w:proofErr w:type="gramStart"/>
            <w:r w:rsidRPr="00356770">
              <w:rPr>
                <w:rFonts w:asciiTheme="majorEastAsia" w:eastAsiaTheme="majorEastAsia" w:hAnsiTheme="majorEastAsia" w:cstheme="majorEastAsia"/>
                <w:color w:val="0D0D0D" w:themeColor="text1" w:themeTint="F2"/>
                <w:szCs w:val="21"/>
              </w:rPr>
              <w:t>工</w:t>
            </w:r>
            <w:proofErr w:type="gramEnd"/>
            <w:r w:rsidRPr="00356770">
              <w:rPr>
                <w:rFonts w:asciiTheme="majorEastAsia" w:eastAsiaTheme="majorEastAsia" w:hAnsiTheme="majorEastAsia" w:cstheme="majorEastAsia"/>
                <w:color w:val="0D0D0D" w:themeColor="text1" w:themeTint="F2"/>
                <w:szCs w:val="21"/>
              </w:rPr>
              <w:t>法说明文件。</w:t>
            </w:r>
          </w:p>
        </w:tc>
        <w:tc>
          <w:tcPr>
            <w:tcW w:w="584" w:type="pct"/>
            <w:vAlign w:val="center"/>
          </w:tcPr>
          <w:p w14:paraId="10B538AF" w14:textId="1739EA94"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613EF46E" w14:textId="77777777" w:rsidTr="00DF1AFE">
        <w:tc>
          <w:tcPr>
            <w:tcW w:w="241" w:type="pct"/>
            <w:vMerge/>
            <w:vAlign w:val="center"/>
          </w:tcPr>
          <w:p w14:paraId="690D9C9D"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4A3E15A4" w14:textId="3642E3A5"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w:t>
            </w:r>
            <w:r w:rsidRPr="00356770">
              <w:rPr>
                <w:rFonts w:asciiTheme="majorEastAsia" w:eastAsiaTheme="majorEastAsia" w:hAnsiTheme="majorEastAsia" w:cstheme="majorEastAsia"/>
                <w:color w:val="0D0D0D" w:themeColor="text1" w:themeTint="F2"/>
                <w:szCs w:val="21"/>
              </w:rPr>
              <w:t>6</w:t>
            </w:r>
          </w:p>
        </w:tc>
        <w:tc>
          <w:tcPr>
            <w:tcW w:w="1263" w:type="pct"/>
            <w:vAlign w:val="center"/>
          </w:tcPr>
          <w:p w14:paraId="4AD10FEA" w14:textId="62F217BA"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卫生间、浴室的地面应设置防水层，墙面、顶棚应设置防潮层。</w:t>
            </w:r>
          </w:p>
        </w:tc>
        <w:tc>
          <w:tcPr>
            <w:tcW w:w="1297" w:type="pct"/>
            <w:gridSpan w:val="2"/>
            <w:vAlign w:val="center"/>
          </w:tcPr>
          <w:p w14:paraId="23E8DEBF"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为避免水蒸气透过墙体或顶棚，使隔壁房间或住户受潮气影响，导致诸如墙体发霉、破坏装修效果（壁纸脱落、发 </w:t>
            </w:r>
          </w:p>
          <w:p w14:paraId="515C6DF5" w14:textId="37B61AF5"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霉，涂料层起鼓、粉化，地板变形等）等情况发生，要求所有卫生间、浴室墙、地面做防水层，墙面、顶棚均做防潮处理。防水层和防潮层设计应符合</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标准《住宅室内防水工程技术规范》 JGJ 298 的规定。</w:t>
            </w:r>
          </w:p>
        </w:tc>
        <w:tc>
          <w:tcPr>
            <w:tcW w:w="1009" w:type="pct"/>
            <w:vAlign w:val="center"/>
          </w:tcPr>
          <w:p w14:paraId="61F323B2" w14:textId="6034ED1D"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查阅相关设计文件、防水和防潮 措施说明；评价查阅相关竣工图、防水和防潮措施说明。</w:t>
            </w:r>
          </w:p>
        </w:tc>
        <w:tc>
          <w:tcPr>
            <w:tcW w:w="584" w:type="pct"/>
            <w:vAlign w:val="center"/>
          </w:tcPr>
          <w:p w14:paraId="47AD5FBF" w14:textId="6DF14C2C"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05D8499D" w14:textId="77777777" w:rsidTr="00DF1AFE">
        <w:tc>
          <w:tcPr>
            <w:tcW w:w="241" w:type="pct"/>
            <w:vMerge/>
            <w:vAlign w:val="center"/>
          </w:tcPr>
          <w:p w14:paraId="267301F1"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251E2FE7" w14:textId="65C6E06E"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w:t>
            </w:r>
            <w:r w:rsidRPr="00356770">
              <w:rPr>
                <w:rFonts w:asciiTheme="majorEastAsia" w:eastAsiaTheme="majorEastAsia" w:hAnsiTheme="majorEastAsia" w:cstheme="majorEastAsia"/>
                <w:color w:val="0D0D0D" w:themeColor="text1" w:themeTint="F2"/>
                <w:szCs w:val="21"/>
              </w:rPr>
              <w:t>7</w:t>
            </w:r>
          </w:p>
        </w:tc>
        <w:tc>
          <w:tcPr>
            <w:tcW w:w="1263" w:type="pct"/>
            <w:vAlign w:val="center"/>
          </w:tcPr>
          <w:p w14:paraId="122070FC" w14:textId="435EC60D"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走廊、疏散通道等通行空间应满足紧急疏散、应急救护等要求，且应保持畅通。</w:t>
            </w:r>
          </w:p>
        </w:tc>
        <w:tc>
          <w:tcPr>
            <w:tcW w:w="1297" w:type="pct"/>
            <w:gridSpan w:val="2"/>
            <w:vAlign w:val="center"/>
          </w:tcPr>
          <w:p w14:paraId="019B32A4" w14:textId="5D042F04"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建筑应根据其高度、规模、使用功能和耐火等级等因素合理设置安全疏散和避难设施。安全出口和疏散门的位置、数量、宽度及疏散楼梯间的形式，应满足人员安全疏散的要求。</w:t>
            </w:r>
          </w:p>
        </w:tc>
        <w:tc>
          <w:tcPr>
            <w:tcW w:w="1009" w:type="pct"/>
            <w:vAlign w:val="center"/>
          </w:tcPr>
          <w:p w14:paraId="39F26ECF" w14:textId="048C9030"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查阅相关设计文件；评价查阅相关竣工图、相关管理规定。</w:t>
            </w:r>
          </w:p>
        </w:tc>
        <w:tc>
          <w:tcPr>
            <w:tcW w:w="584" w:type="pct"/>
            <w:vAlign w:val="center"/>
          </w:tcPr>
          <w:p w14:paraId="2491BBA4" w14:textId="2C92F654"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46D4AE89" w14:textId="77777777" w:rsidTr="00DF1AFE">
        <w:tc>
          <w:tcPr>
            <w:tcW w:w="241" w:type="pct"/>
            <w:vMerge/>
            <w:vAlign w:val="center"/>
          </w:tcPr>
          <w:p w14:paraId="45B8E19B"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60B3D411" w14:textId="074DB4BE"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4.1.</w:t>
            </w:r>
            <w:r w:rsidRPr="00356770">
              <w:rPr>
                <w:rFonts w:asciiTheme="majorEastAsia" w:eastAsiaTheme="majorEastAsia" w:hAnsiTheme="majorEastAsia" w:cstheme="majorEastAsia"/>
                <w:color w:val="0D0D0D" w:themeColor="text1" w:themeTint="F2"/>
                <w:szCs w:val="21"/>
              </w:rPr>
              <w:t>8</w:t>
            </w:r>
          </w:p>
        </w:tc>
        <w:tc>
          <w:tcPr>
            <w:tcW w:w="1263" w:type="pct"/>
            <w:vAlign w:val="center"/>
          </w:tcPr>
          <w:p w14:paraId="6DDB8B6E" w14:textId="4135ADF1"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应具有安全防护的警示和引导标识系统。</w:t>
            </w:r>
          </w:p>
        </w:tc>
        <w:tc>
          <w:tcPr>
            <w:tcW w:w="1297" w:type="pct"/>
            <w:gridSpan w:val="2"/>
            <w:vAlign w:val="center"/>
          </w:tcPr>
          <w:p w14:paraId="1D00CDD5"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设置显著、醒目的安全警示标志，能够起到提醒建筑使用者注意安全</w:t>
            </w:r>
            <w:r w:rsidRPr="00356770">
              <w:rPr>
                <w:rFonts w:asciiTheme="majorEastAsia" w:eastAsiaTheme="majorEastAsia" w:hAnsiTheme="majorEastAsia" w:cstheme="majorEastAsia"/>
                <w:color w:val="0D0D0D" w:themeColor="text1" w:themeTint="F2"/>
                <w:szCs w:val="21"/>
              </w:rPr>
              <w:lastRenderedPageBreak/>
              <w:t xml:space="preserve">的作用。设置安全引导指示标志，包括紧急出口标志、避险处标志、 </w:t>
            </w:r>
          </w:p>
          <w:p w14:paraId="1A80F373" w14:textId="42E52BA3"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应急避难场所标志、急救点标志、报警点标志等，以及其他促进建筑安全使用的引导标志等。</w:t>
            </w:r>
          </w:p>
        </w:tc>
        <w:tc>
          <w:tcPr>
            <w:tcW w:w="1009" w:type="pct"/>
            <w:vAlign w:val="center"/>
          </w:tcPr>
          <w:p w14:paraId="60083940" w14:textId="6CC7DC16" w:rsidR="00DF1AFE" w:rsidRPr="00356770" w:rsidRDefault="00DF1AFE" w:rsidP="00DF1AFE">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查阅标识系统设计与设置说明文件；评价</w:t>
            </w:r>
            <w:r w:rsidRPr="00356770">
              <w:rPr>
                <w:rFonts w:asciiTheme="majorEastAsia" w:eastAsiaTheme="majorEastAsia" w:hAnsiTheme="majorEastAsia" w:cstheme="majorEastAsia"/>
                <w:color w:val="0D0D0D" w:themeColor="text1" w:themeTint="F2"/>
                <w:szCs w:val="21"/>
              </w:rPr>
              <w:lastRenderedPageBreak/>
              <w:t>查阅标识系统设计与设置说明文件、相关影像材料等。</w:t>
            </w:r>
          </w:p>
        </w:tc>
        <w:tc>
          <w:tcPr>
            <w:tcW w:w="584" w:type="pct"/>
            <w:vAlign w:val="center"/>
          </w:tcPr>
          <w:p w14:paraId="3689281D" w14:textId="737D807B" w:rsidR="00DF1AFE" w:rsidRPr="00356770" w:rsidRDefault="00DF1AFE" w:rsidP="00E51FA6">
            <w:pPr>
              <w:jc w:val="center"/>
              <w:rPr>
                <w:rFonts w:asciiTheme="majorEastAsia" w:eastAsiaTheme="majorEastAsia" w:hAnsiTheme="majorEastAsia" w:cstheme="majorEastAsia"/>
                <w:color w:val="0D0D0D" w:themeColor="text1" w:themeTint="F2"/>
                <w:sz w:val="13"/>
                <w:szCs w:val="13"/>
              </w:rPr>
            </w:pPr>
            <w:r w:rsidRPr="00356770">
              <w:rPr>
                <w:rFonts w:asciiTheme="majorEastAsia" w:eastAsiaTheme="majorEastAsia" w:hAnsiTheme="majorEastAsia" w:cstheme="majorEastAsia"/>
                <w:color w:val="0D0D0D" w:themeColor="text1" w:themeTint="F2"/>
                <w:sz w:val="13"/>
                <w:szCs w:val="13"/>
              </w:rPr>
              <w:lastRenderedPageBreak/>
              <w:t>满足</w:t>
            </w:r>
          </w:p>
        </w:tc>
      </w:tr>
      <w:tr w:rsidR="00356770" w:rsidRPr="00356770" w14:paraId="29A28C56" w14:textId="30B6DEC7" w:rsidTr="00DF1AFE">
        <w:trPr>
          <w:trHeight w:val="248"/>
        </w:trPr>
        <w:tc>
          <w:tcPr>
            <w:tcW w:w="241" w:type="pct"/>
            <w:vMerge/>
            <w:vAlign w:val="center"/>
          </w:tcPr>
          <w:p w14:paraId="4002445F"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3205CF26"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2560" w:type="pct"/>
            <w:gridSpan w:val="3"/>
            <w:vAlign w:val="center"/>
          </w:tcPr>
          <w:p w14:paraId="23E8A818" w14:textId="344E547B"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用于基本</w:t>
            </w:r>
            <w:proofErr w:type="gramStart"/>
            <w:r w:rsidRPr="00356770">
              <w:rPr>
                <w:rFonts w:asciiTheme="majorEastAsia" w:eastAsiaTheme="majorEastAsia" w:hAnsiTheme="majorEastAsia" w:cstheme="majorEastAsia" w:hint="eastAsia"/>
                <w:color w:val="0D0D0D" w:themeColor="text1" w:themeTint="F2"/>
                <w:szCs w:val="21"/>
              </w:rPr>
              <w:t>级评价</w:t>
            </w:r>
            <w:proofErr w:type="gramEnd"/>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用于星级控制</w:t>
            </w:r>
            <w:proofErr w:type="gramStart"/>
            <w:r w:rsidRPr="00356770">
              <w:rPr>
                <w:rFonts w:asciiTheme="majorEastAsia" w:eastAsiaTheme="majorEastAsia" w:hAnsiTheme="majorEastAsia" w:cstheme="majorEastAsia" w:hint="eastAsia"/>
                <w:color w:val="0D0D0D" w:themeColor="text1" w:themeTint="F2"/>
                <w:szCs w:val="21"/>
              </w:rPr>
              <w:t>项评价</w:t>
            </w:r>
            <w:proofErr w:type="gramEnd"/>
            <w:r w:rsidRPr="00356770">
              <w:rPr>
                <w:rFonts w:asciiTheme="majorEastAsia" w:eastAsiaTheme="majorEastAsia" w:hAnsiTheme="majorEastAsia" w:cstheme="majorEastAsia" w:hint="eastAsia"/>
                <w:color w:val="0D0D0D" w:themeColor="text1" w:themeTint="F2"/>
                <w:szCs w:val="21"/>
              </w:rPr>
              <w:t>□</w:t>
            </w:r>
          </w:p>
        </w:tc>
        <w:tc>
          <w:tcPr>
            <w:tcW w:w="1593" w:type="pct"/>
            <w:gridSpan w:val="2"/>
            <w:vAlign w:val="center"/>
          </w:tcPr>
          <w:p w14:paraId="2F85588B" w14:textId="75178C99"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评价结果：满足</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不</w:t>
            </w:r>
            <w:r w:rsidRPr="00356770">
              <w:rPr>
                <w:rFonts w:asciiTheme="majorEastAsia" w:eastAsiaTheme="majorEastAsia" w:hAnsiTheme="majorEastAsia" w:cstheme="majorEastAsia" w:hint="eastAsia"/>
                <w:color w:val="0D0D0D" w:themeColor="text1" w:themeTint="F2"/>
                <w:szCs w:val="21"/>
              </w:rPr>
              <w:t>满足</w:t>
            </w:r>
            <w:r w:rsidRPr="00356770">
              <w:rPr>
                <w:rFonts w:asciiTheme="majorEastAsia" w:eastAsiaTheme="majorEastAsia" w:hAnsiTheme="majorEastAsia" w:cstheme="majorEastAsia" w:hint="eastAsia"/>
                <w:color w:val="0D0D0D" w:themeColor="text1" w:themeTint="F2"/>
                <w:szCs w:val="21"/>
              </w:rPr>
              <w:t>□</w:t>
            </w:r>
          </w:p>
        </w:tc>
      </w:tr>
      <w:tr w:rsidR="00356770" w:rsidRPr="00356770" w14:paraId="06907F35" w14:textId="77777777" w:rsidTr="00DF1AFE">
        <w:trPr>
          <w:trHeight w:val="207"/>
        </w:trPr>
        <w:tc>
          <w:tcPr>
            <w:tcW w:w="241" w:type="pct"/>
            <w:vMerge w:val="restart"/>
            <w:vAlign w:val="center"/>
          </w:tcPr>
          <w:p w14:paraId="5BEE8FCA"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w:t>
            </w:r>
          </w:p>
          <w:p w14:paraId="6A0F1C56"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分</w:t>
            </w:r>
          </w:p>
          <w:p w14:paraId="60BEF4EB"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5" w:type="pct"/>
            <w:vAlign w:val="center"/>
          </w:tcPr>
          <w:p w14:paraId="18C6C7DF"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4.2.1</w:t>
            </w:r>
          </w:p>
        </w:tc>
        <w:tc>
          <w:tcPr>
            <w:tcW w:w="1277" w:type="pct"/>
            <w:gridSpan w:val="2"/>
            <w:vAlign w:val="center"/>
          </w:tcPr>
          <w:p w14:paraId="1CEE6A17" w14:textId="114DA5F1"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采用基于性能的抗震设计并合理提高建筑的抗震性能。</w:t>
            </w:r>
          </w:p>
        </w:tc>
        <w:tc>
          <w:tcPr>
            <w:tcW w:w="1283" w:type="pct"/>
            <w:vAlign w:val="center"/>
          </w:tcPr>
          <w:p w14:paraId="0168B10D" w14:textId="75071A16"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采用基</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性能的抗震设计并适当提高建筑的抗震性能指标要求，如采用“中震不屈服”以上的性能目标，或者为满足使用功能而提出比现行标准要求更高的刚度要求等，可以提高建筑的抗震安全性及功能性；采用隔震、消能减震设计，是提高建筑物的设防类别或提高其抗震性能要求时的有效手段。</w:t>
            </w:r>
          </w:p>
        </w:tc>
        <w:tc>
          <w:tcPr>
            <w:tcW w:w="1009" w:type="pct"/>
            <w:vAlign w:val="center"/>
          </w:tcPr>
          <w:p w14:paraId="285CF825" w14:textId="2C80A4CC"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查阅相关设计文件、结构计算文件；评价查阅相关竣工图、结构计算文件、项目安全分析报告及应对措施结果。</w:t>
            </w:r>
          </w:p>
        </w:tc>
        <w:tc>
          <w:tcPr>
            <w:tcW w:w="584" w:type="pct"/>
            <w:vAlign w:val="center"/>
          </w:tcPr>
          <w:p w14:paraId="11A874AB" w14:textId="242CD449"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0</w:t>
            </w:r>
          </w:p>
        </w:tc>
      </w:tr>
      <w:tr w:rsidR="00356770" w:rsidRPr="00356770" w14:paraId="52DA86B4" w14:textId="77777777" w:rsidTr="00DF1AFE">
        <w:trPr>
          <w:trHeight w:val="139"/>
        </w:trPr>
        <w:tc>
          <w:tcPr>
            <w:tcW w:w="241" w:type="pct"/>
            <w:vMerge/>
            <w:vAlign w:val="center"/>
          </w:tcPr>
          <w:p w14:paraId="706CBD20"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16A064E8"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4.2.2</w:t>
            </w:r>
          </w:p>
        </w:tc>
        <w:tc>
          <w:tcPr>
            <w:tcW w:w="1277" w:type="pct"/>
            <w:gridSpan w:val="2"/>
            <w:vAlign w:val="center"/>
          </w:tcPr>
          <w:p w14:paraId="4E1200CC"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采取保障人员安全的防护措施。</w:t>
            </w:r>
          </w:p>
          <w:p w14:paraId="7CDE7F94" w14:textId="366B5112"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采取措施提高阳台、外窗、窗台、防护栏杆等安全防护水平，得5分;</w:t>
            </w:r>
          </w:p>
          <w:p w14:paraId="7ED13E02"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建筑物出入口均设外墙饰面、门窗玻璃意外脱落的防护措施，并与人员通行区域的遮阳、遮风或挡雨措施结合，得5分;</w:t>
            </w:r>
          </w:p>
          <w:p w14:paraId="224BE649" w14:textId="3C44CCA3"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3利用场地或景观形成可降低坠</w:t>
            </w:r>
            <w:proofErr w:type="gramStart"/>
            <w:r w:rsidRPr="00356770">
              <w:rPr>
                <w:rFonts w:asciiTheme="majorEastAsia" w:eastAsiaTheme="majorEastAsia" w:hAnsiTheme="majorEastAsia" w:cstheme="majorEastAsia" w:hint="eastAsia"/>
                <w:color w:val="0D0D0D" w:themeColor="text1" w:themeTint="F2"/>
                <w:szCs w:val="21"/>
              </w:rPr>
              <w:t>物风险</w:t>
            </w:r>
            <w:proofErr w:type="gramEnd"/>
            <w:r w:rsidRPr="00356770">
              <w:rPr>
                <w:rFonts w:asciiTheme="majorEastAsia" w:eastAsiaTheme="majorEastAsia" w:hAnsiTheme="majorEastAsia" w:cstheme="majorEastAsia" w:hint="eastAsia"/>
                <w:color w:val="0D0D0D" w:themeColor="text1" w:themeTint="F2"/>
                <w:szCs w:val="21"/>
              </w:rPr>
              <w:t>的缓冲区、隔离带得5分。</w:t>
            </w:r>
          </w:p>
        </w:tc>
        <w:tc>
          <w:tcPr>
            <w:tcW w:w="1283" w:type="pct"/>
            <w:vAlign w:val="center"/>
          </w:tcPr>
          <w:p w14:paraId="5E3EE1AD"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阳台、外窗、窗台、防护栏杆等强化防坠设计有利于降低坠物伤人风险，阳台外窗采用高窗设计、限制窗扇开启角 </w:t>
            </w:r>
          </w:p>
          <w:p w14:paraId="54CE355E" w14:textId="2D649333"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度、窗台与绿化种植整合设计、适度减少防护栏杆垂直杆件水平净距、安装隐形防盗网等措施，防止物品坠落伤人。</w:t>
            </w:r>
          </w:p>
        </w:tc>
        <w:tc>
          <w:tcPr>
            <w:tcW w:w="1009" w:type="pct"/>
            <w:vAlign w:val="center"/>
          </w:tcPr>
          <w:p w14:paraId="05E22F7E" w14:textId="066FCDD8"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查阅相关设计文件等；评价查阅相关竣工图。</w:t>
            </w:r>
          </w:p>
        </w:tc>
        <w:tc>
          <w:tcPr>
            <w:tcW w:w="584" w:type="pct"/>
            <w:vAlign w:val="center"/>
          </w:tcPr>
          <w:p w14:paraId="5144AE2B" w14:textId="6699E7C6"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00356770" w:rsidRPr="00356770">
              <w:rPr>
                <w:rFonts w:asciiTheme="majorEastAsia" w:eastAsiaTheme="majorEastAsia" w:hAnsiTheme="majorEastAsia" w:cstheme="majorEastAsia"/>
                <w:color w:val="0D0D0D" w:themeColor="text1" w:themeTint="F2"/>
                <w:szCs w:val="21"/>
              </w:rPr>
              <w:t>+0+0</w:t>
            </w:r>
          </w:p>
        </w:tc>
      </w:tr>
      <w:tr w:rsidR="00356770" w:rsidRPr="00356770" w14:paraId="3B197EB4" w14:textId="77777777" w:rsidTr="00DF1AFE">
        <w:trPr>
          <w:trHeight w:val="299"/>
        </w:trPr>
        <w:tc>
          <w:tcPr>
            <w:tcW w:w="241" w:type="pct"/>
            <w:vMerge/>
            <w:vAlign w:val="center"/>
          </w:tcPr>
          <w:p w14:paraId="246E947D"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414344DE" w14:textId="642B0CB2"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.2.3</w:t>
            </w:r>
          </w:p>
        </w:tc>
        <w:tc>
          <w:tcPr>
            <w:tcW w:w="1277" w:type="pct"/>
            <w:gridSpan w:val="2"/>
            <w:vAlign w:val="center"/>
          </w:tcPr>
          <w:p w14:paraId="4EB94064"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采用具有安全防护功能的产品或配件。</w:t>
            </w:r>
          </w:p>
          <w:p w14:paraId="6AB84659" w14:textId="679809B5"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1采用具有安全防护功能的玻璃，得5分;</w:t>
            </w:r>
          </w:p>
          <w:p w14:paraId="4CB5E119" w14:textId="3A6FA19E"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2采用具备防夹功能的门窗，得 5 分</w:t>
            </w:r>
          </w:p>
        </w:tc>
        <w:tc>
          <w:tcPr>
            <w:tcW w:w="1283" w:type="pct"/>
            <w:vAlign w:val="center"/>
          </w:tcPr>
          <w:p w14:paraId="0A38816F"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为了尽量减少建筑用玻璃制品在受到冲击时对人体造成划伤、割伤等，在建筑中使用玻璃制品时需尽可能地采取下列措施： </w:t>
            </w:r>
          </w:p>
          <w:p w14:paraId="34CA2803"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 xml:space="preserve">1) 选择安全玻璃制品时，充分考虑玻璃的种类、结构、厚度、尺寸，尤其是合理选择安全玻璃制品散弹袋冲击试验的冲击历程和冲击高度级别等； </w:t>
            </w:r>
          </w:p>
          <w:p w14:paraId="4A6DC6C4"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2) 对关键场所的安全玻璃制品采取必要的其他防护； </w:t>
            </w:r>
          </w:p>
          <w:p w14:paraId="78895DDC" w14:textId="706F3893"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 关键场所的安全玻璃制品设置容易识别的标识。</w:t>
            </w:r>
          </w:p>
        </w:tc>
        <w:tc>
          <w:tcPr>
            <w:tcW w:w="1009" w:type="pct"/>
            <w:vAlign w:val="center"/>
          </w:tcPr>
          <w:p w14:paraId="48E2C2B3" w14:textId="75DA4467"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查阅相关设计文件等；评价查阅相关竣工图、安全玻璃及门窗检测检验报告。</w:t>
            </w:r>
          </w:p>
        </w:tc>
        <w:tc>
          <w:tcPr>
            <w:tcW w:w="584" w:type="pct"/>
            <w:vAlign w:val="center"/>
          </w:tcPr>
          <w:p w14:paraId="3E541795" w14:textId="4EE84420" w:rsidR="00DF1AFE" w:rsidRPr="00356770" w:rsidRDefault="00356770"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Pr="00356770">
              <w:rPr>
                <w:rFonts w:asciiTheme="majorEastAsia" w:eastAsiaTheme="majorEastAsia" w:hAnsiTheme="majorEastAsia" w:cstheme="majorEastAsia"/>
                <w:color w:val="0D0D0D" w:themeColor="text1" w:themeTint="F2"/>
                <w:szCs w:val="21"/>
              </w:rPr>
              <w:t>+5</w:t>
            </w:r>
          </w:p>
        </w:tc>
      </w:tr>
      <w:tr w:rsidR="00356770" w:rsidRPr="00356770" w14:paraId="4F3F2F39" w14:textId="77777777" w:rsidTr="00DF1AFE">
        <w:trPr>
          <w:trHeight w:val="299"/>
        </w:trPr>
        <w:tc>
          <w:tcPr>
            <w:tcW w:w="241" w:type="pct"/>
            <w:vMerge/>
            <w:vAlign w:val="center"/>
          </w:tcPr>
          <w:p w14:paraId="581B9A96"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36063EC4" w14:textId="7E36B376"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.2.4</w:t>
            </w:r>
          </w:p>
        </w:tc>
        <w:tc>
          <w:tcPr>
            <w:tcW w:w="1277" w:type="pct"/>
            <w:gridSpan w:val="2"/>
            <w:vAlign w:val="center"/>
          </w:tcPr>
          <w:p w14:paraId="74B411B7"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室内外地面或路面设置防滑措施。</w:t>
            </w:r>
          </w:p>
          <w:p w14:paraId="7D3FE580" w14:textId="1AA6310A"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建筑出入口及平台、公共走、电梯门厅、厨房、浴室、卫生间等设置防滑措施，防滑等级不低于</w:t>
            </w:r>
            <w:proofErr w:type="gramStart"/>
            <w:r w:rsidRPr="00356770">
              <w:rPr>
                <w:rFonts w:asciiTheme="majorEastAsia" w:eastAsiaTheme="majorEastAsia" w:hAnsiTheme="majorEastAsia" w:cstheme="majorEastAsia" w:hint="eastAsia"/>
                <w:color w:val="0D0D0D" w:themeColor="text1" w:themeTint="F2"/>
                <w:szCs w:val="21"/>
              </w:rPr>
              <w:t>现行行业</w:t>
            </w:r>
            <w:proofErr w:type="gramEnd"/>
            <w:r w:rsidRPr="00356770">
              <w:rPr>
                <w:rFonts w:asciiTheme="majorEastAsia" w:eastAsiaTheme="majorEastAsia" w:hAnsiTheme="majorEastAsia" w:cstheme="majorEastAsia" w:hint="eastAsia"/>
                <w:color w:val="0D0D0D" w:themeColor="text1" w:themeTint="F2"/>
                <w:szCs w:val="21"/>
              </w:rPr>
              <w:t>标准《建筑地面工程防滑技术规程》JGJ/T 331 规定的B、</w:t>
            </w:r>
            <w:proofErr w:type="spellStart"/>
            <w:r w:rsidRPr="00356770">
              <w:rPr>
                <w:rFonts w:asciiTheme="majorEastAsia" w:eastAsiaTheme="majorEastAsia" w:hAnsiTheme="majorEastAsia" w:cstheme="majorEastAsia" w:hint="eastAsia"/>
                <w:color w:val="0D0D0D" w:themeColor="text1" w:themeTint="F2"/>
                <w:szCs w:val="21"/>
              </w:rPr>
              <w:t>Bw</w:t>
            </w:r>
            <w:proofErr w:type="spellEnd"/>
            <w:r w:rsidRPr="00356770">
              <w:rPr>
                <w:rFonts w:asciiTheme="majorEastAsia" w:eastAsiaTheme="majorEastAsia" w:hAnsiTheme="majorEastAsia" w:cstheme="majorEastAsia" w:hint="eastAsia"/>
                <w:color w:val="0D0D0D" w:themeColor="text1" w:themeTint="F2"/>
                <w:szCs w:val="21"/>
              </w:rPr>
              <w:t>级，得3分;</w:t>
            </w:r>
          </w:p>
          <w:p w14:paraId="0B8F9054"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2建筑室内外活动场标准《建筑地面工程防滑技术规程》JGJ/T 331 规定的</w:t>
            </w:r>
            <w:proofErr w:type="spellStart"/>
            <w:r w:rsidRPr="00356770">
              <w:rPr>
                <w:rFonts w:asciiTheme="majorEastAsia" w:eastAsiaTheme="majorEastAsia" w:hAnsiTheme="majorEastAsia" w:cstheme="majorEastAsia" w:hint="eastAsia"/>
                <w:color w:val="0D0D0D" w:themeColor="text1" w:themeTint="F2"/>
                <w:szCs w:val="21"/>
              </w:rPr>
              <w:t>AaAw</w:t>
            </w:r>
            <w:proofErr w:type="spellEnd"/>
            <w:r w:rsidRPr="00356770">
              <w:rPr>
                <w:rFonts w:asciiTheme="majorEastAsia" w:eastAsiaTheme="majorEastAsia" w:hAnsiTheme="majorEastAsia" w:cstheme="majorEastAsia" w:hint="eastAsia"/>
                <w:color w:val="0D0D0D" w:themeColor="text1" w:themeTint="F2"/>
                <w:szCs w:val="21"/>
              </w:rPr>
              <w:t>级，得4分;</w:t>
            </w:r>
          </w:p>
          <w:p w14:paraId="28A2A99D" w14:textId="1DA0A71B"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建筑坡道、楼梯踏步防滑等级达到</w:t>
            </w:r>
            <w:proofErr w:type="gramStart"/>
            <w:r w:rsidRPr="00356770">
              <w:rPr>
                <w:rFonts w:asciiTheme="majorEastAsia" w:eastAsiaTheme="majorEastAsia" w:hAnsiTheme="majorEastAsia" w:cstheme="majorEastAsia" w:hint="eastAsia"/>
                <w:color w:val="0D0D0D" w:themeColor="text1" w:themeTint="F2"/>
                <w:szCs w:val="21"/>
              </w:rPr>
              <w:t>现行行业</w:t>
            </w:r>
            <w:proofErr w:type="gramEnd"/>
            <w:r w:rsidRPr="00356770">
              <w:rPr>
                <w:rFonts w:asciiTheme="majorEastAsia" w:eastAsiaTheme="majorEastAsia" w:hAnsiTheme="majorEastAsia" w:cstheme="majorEastAsia" w:hint="eastAsia"/>
                <w:color w:val="0D0D0D" w:themeColor="text1" w:themeTint="F2"/>
                <w:szCs w:val="21"/>
              </w:rPr>
              <w:t>标准《建筑地面工程防滑技术规程》JGJ/T 331 规定的Ad、Aw级或按水平地面等级提高一级，并采用防滑条等防滑构造技术措施，得3分。所采用防滑地面，防滑等级达到</w:t>
            </w:r>
            <w:proofErr w:type="gramStart"/>
            <w:r w:rsidRPr="00356770">
              <w:rPr>
                <w:rFonts w:asciiTheme="majorEastAsia" w:eastAsiaTheme="majorEastAsia" w:hAnsiTheme="majorEastAsia" w:cstheme="majorEastAsia" w:hint="eastAsia"/>
                <w:color w:val="0D0D0D" w:themeColor="text1" w:themeTint="F2"/>
                <w:szCs w:val="21"/>
              </w:rPr>
              <w:t>现行行业</w:t>
            </w:r>
            <w:proofErr w:type="gramEnd"/>
          </w:p>
        </w:tc>
        <w:tc>
          <w:tcPr>
            <w:tcW w:w="1283" w:type="pct"/>
            <w:vAlign w:val="center"/>
          </w:tcPr>
          <w:p w14:paraId="0351BFA9" w14:textId="517F1DED"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建筑防滑地面工程对于保证人身安全至关重要。光亮、光滑的室内地面，因雨雪天气造成的室外湿滑地面和浴室、厕所等湿滑地面极易导致伤害事故。按</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 xml:space="preserve">标准《建筑地面工程防滑技术规程》 JGJ/T 331 的规定， Aw </w:t>
            </w:r>
            <w:proofErr w:type="spellStart"/>
            <w:r w:rsidRPr="00356770">
              <w:rPr>
                <w:rFonts w:asciiTheme="majorEastAsia" w:eastAsiaTheme="majorEastAsia" w:hAnsiTheme="majorEastAsia" w:cstheme="majorEastAsia"/>
                <w:color w:val="0D0D0D" w:themeColor="text1" w:themeTint="F2"/>
                <w:szCs w:val="21"/>
              </w:rPr>
              <w:t>Bw</w:t>
            </w:r>
            <w:proofErr w:type="spellEnd"/>
            <w:r w:rsidRPr="00356770">
              <w:rPr>
                <w:rFonts w:asciiTheme="majorEastAsia" w:eastAsiaTheme="majorEastAsia" w:hAnsiTheme="majorEastAsia" w:cstheme="majorEastAsia"/>
                <w:color w:val="0D0D0D" w:themeColor="text1" w:themeTint="F2"/>
                <w:szCs w:val="21"/>
              </w:rPr>
              <w:t xml:space="preserve"> Cw </w:t>
            </w:r>
            <w:proofErr w:type="spellStart"/>
            <w:r w:rsidRPr="00356770">
              <w:rPr>
                <w:rFonts w:asciiTheme="majorEastAsia" w:eastAsiaTheme="majorEastAsia" w:hAnsiTheme="majorEastAsia" w:cstheme="majorEastAsia"/>
                <w:color w:val="0D0D0D" w:themeColor="text1" w:themeTint="F2"/>
                <w:szCs w:val="21"/>
              </w:rPr>
              <w:t>Dw</w:t>
            </w:r>
            <w:proofErr w:type="spellEnd"/>
            <w:r w:rsidRPr="00356770">
              <w:rPr>
                <w:rFonts w:asciiTheme="majorEastAsia" w:eastAsiaTheme="majorEastAsia" w:hAnsiTheme="majorEastAsia" w:cstheme="majorEastAsia"/>
                <w:color w:val="0D0D0D" w:themeColor="text1" w:themeTint="F2"/>
                <w:szCs w:val="21"/>
              </w:rPr>
              <w:t xml:space="preserve"> 分别表示潮湿地面防滑安全程度为高级、中高级、中级、 低级，儿、凡、 、</w:t>
            </w:r>
            <w:proofErr w:type="gramStart"/>
            <w:r w:rsidRPr="00356770">
              <w:rPr>
                <w:rFonts w:asciiTheme="majorEastAsia" w:eastAsiaTheme="majorEastAsia" w:hAnsiTheme="majorEastAsia" w:cstheme="majorEastAsia"/>
                <w:color w:val="0D0D0D" w:themeColor="text1" w:themeTint="F2"/>
                <w:szCs w:val="21"/>
              </w:rPr>
              <w:t>几分别</w:t>
            </w:r>
            <w:proofErr w:type="gramEnd"/>
            <w:r w:rsidRPr="00356770">
              <w:rPr>
                <w:rFonts w:asciiTheme="majorEastAsia" w:eastAsiaTheme="majorEastAsia" w:hAnsiTheme="majorEastAsia" w:cstheme="majorEastAsia"/>
                <w:color w:val="0D0D0D" w:themeColor="text1" w:themeTint="F2"/>
                <w:szCs w:val="21"/>
              </w:rPr>
              <w:t>表示干态地面防滑安全程度为高级、中高级、中级、低级。</w:t>
            </w:r>
          </w:p>
        </w:tc>
        <w:tc>
          <w:tcPr>
            <w:tcW w:w="1009" w:type="pct"/>
            <w:vAlign w:val="center"/>
          </w:tcPr>
          <w:p w14:paraId="72325EC7" w14:textId="14ABE657"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查阅相关设计文件；评价查阅相关竣工图、防滑材料有关测试报告。</w:t>
            </w:r>
          </w:p>
        </w:tc>
        <w:tc>
          <w:tcPr>
            <w:tcW w:w="584" w:type="pct"/>
            <w:vAlign w:val="center"/>
          </w:tcPr>
          <w:p w14:paraId="116AF4D4" w14:textId="4EA9CB63" w:rsidR="00DF1AFE" w:rsidRPr="00356770" w:rsidRDefault="00356770"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3+0+3</w:t>
            </w:r>
          </w:p>
        </w:tc>
      </w:tr>
      <w:tr w:rsidR="00356770" w:rsidRPr="00356770" w14:paraId="0A11E3CE" w14:textId="77777777" w:rsidTr="00DF1AFE">
        <w:trPr>
          <w:trHeight w:val="299"/>
        </w:trPr>
        <w:tc>
          <w:tcPr>
            <w:tcW w:w="241" w:type="pct"/>
            <w:vMerge/>
            <w:vAlign w:val="center"/>
          </w:tcPr>
          <w:p w14:paraId="0E374485"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794C691F" w14:textId="10627F66"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.2.5</w:t>
            </w:r>
          </w:p>
        </w:tc>
        <w:tc>
          <w:tcPr>
            <w:tcW w:w="1277" w:type="pct"/>
            <w:gridSpan w:val="2"/>
            <w:vAlign w:val="center"/>
          </w:tcPr>
          <w:p w14:paraId="0369BD0E" w14:textId="73679A3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采取人车分流措施，且步行和自行车交通系统有充足照明。</w:t>
            </w:r>
          </w:p>
        </w:tc>
        <w:tc>
          <w:tcPr>
            <w:tcW w:w="1283" w:type="pct"/>
            <w:vAlign w:val="center"/>
          </w:tcPr>
          <w:p w14:paraId="21B057E5"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随着城镇汽车保有量大幅提升，交通压力与日俱增。建筑场地内的交通状况直接关系着使用者的人身安全。人</w:t>
            </w:r>
            <w:r w:rsidRPr="00356770">
              <w:rPr>
                <w:rFonts w:asciiTheme="majorEastAsia" w:eastAsiaTheme="majorEastAsia" w:hAnsiTheme="majorEastAsia" w:cstheme="majorEastAsia"/>
                <w:color w:val="0D0D0D" w:themeColor="text1" w:themeTint="F2"/>
                <w:szCs w:val="21"/>
              </w:rPr>
              <w:lastRenderedPageBreak/>
              <w:t xml:space="preserve">车分流将行人和机动车完全分离开，互不干扰，可避免人车争路的情况，充分保障行人尤其是老人和儿童的安全。提供完善的人行道路网络可鼓励公众步行，也是建立以行人为本的城市 的先决条件。步行和自行车交通系统如果照明不足，往往会导致人们产生不安全感，特别是在空旷或比较空旷的公共区域。充足的照明可 </w:t>
            </w:r>
          </w:p>
          <w:p w14:paraId="0A86800E" w14:textId="0528C031"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以消除不安全感，对降低犯罪率、防止发生交通事故、提高夜间行人的安全性有重要作用。</w:t>
            </w:r>
          </w:p>
        </w:tc>
        <w:tc>
          <w:tcPr>
            <w:tcW w:w="1009" w:type="pct"/>
            <w:vAlign w:val="center"/>
          </w:tcPr>
          <w:p w14:paraId="64EB54E0" w14:textId="0761BCAB"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查阅照明设计文件、人车分流专项设计文件；评价查阅相关竣工图。</w:t>
            </w:r>
          </w:p>
        </w:tc>
        <w:tc>
          <w:tcPr>
            <w:tcW w:w="584" w:type="pct"/>
            <w:vAlign w:val="center"/>
          </w:tcPr>
          <w:p w14:paraId="332413A1" w14:textId="2C12DA8E"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p>
        </w:tc>
      </w:tr>
      <w:tr w:rsidR="00356770" w:rsidRPr="00356770" w14:paraId="1A889C16" w14:textId="77777777" w:rsidTr="00DF1AFE">
        <w:trPr>
          <w:trHeight w:val="299"/>
        </w:trPr>
        <w:tc>
          <w:tcPr>
            <w:tcW w:w="241" w:type="pct"/>
            <w:vMerge/>
            <w:vAlign w:val="center"/>
          </w:tcPr>
          <w:p w14:paraId="59793242"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1989E68B" w14:textId="7579AB0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.2.6</w:t>
            </w:r>
          </w:p>
        </w:tc>
        <w:tc>
          <w:tcPr>
            <w:tcW w:w="1277" w:type="pct"/>
            <w:gridSpan w:val="2"/>
            <w:vAlign w:val="center"/>
          </w:tcPr>
          <w:p w14:paraId="1A6BCE0D"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采取提升建筑</w:t>
            </w:r>
            <w:proofErr w:type="gramStart"/>
            <w:r w:rsidRPr="00356770">
              <w:rPr>
                <w:rFonts w:asciiTheme="majorEastAsia" w:eastAsiaTheme="majorEastAsia" w:hAnsiTheme="majorEastAsia" w:cstheme="majorEastAsia" w:hint="eastAsia"/>
                <w:color w:val="0D0D0D" w:themeColor="text1" w:themeTint="F2"/>
                <w:szCs w:val="21"/>
              </w:rPr>
              <w:t>适</w:t>
            </w:r>
            <w:proofErr w:type="gramEnd"/>
            <w:r w:rsidRPr="00356770">
              <w:rPr>
                <w:rFonts w:asciiTheme="majorEastAsia" w:eastAsiaTheme="majorEastAsia" w:hAnsiTheme="majorEastAsia" w:cstheme="majorEastAsia" w:hint="eastAsia"/>
                <w:color w:val="0D0D0D" w:themeColor="text1" w:themeTint="F2"/>
                <w:szCs w:val="21"/>
              </w:rPr>
              <w:t>变性的措施。</w:t>
            </w:r>
          </w:p>
          <w:p w14:paraId="6C272CCB" w14:textId="43CC948D"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采取通用开放、灵活可变的使用空间设计，或采取建筑使用功能可变措施，得7分;</w:t>
            </w:r>
          </w:p>
          <w:p w14:paraId="35EE47BB"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2建筑结构与建筑设备管线分离，得7分;</w:t>
            </w:r>
          </w:p>
          <w:p w14:paraId="5A5E30CB" w14:textId="11429EA3"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3采用与建筑功能和空间变化相适应的设备设施布置方式或控制方式，得4分。</w:t>
            </w:r>
          </w:p>
        </w:tc>
        <w:tc>
          <w:tcPr>
            <w:tcW w:w="1283" w:type="pct"/>
            <w:vAlign w:val="center"/>
          </w:tcPr>
          <w:p w14:paraId="4B8FADAF"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w:t>
            </w:r>
            <w:proofErr w:type="gramStart"/>
            <w:r w:rsidRPr="00356770">
              <w:rPr>
                <w:rFonts w:asciiTheme="majorEastAsia" w:eastAsiaTheme="majorEastAsia" w:hAnsiTheme="majorEastAsia" w:cstheme="majorEastAsia"/>
                <w:color w:val="0D0D0D" w:themeColor="text1" w:themeTint="F2"/>
                <w:szCs w:val="21"/>
              </w:rPr>
              <w:t>适</w:t>
            </w:r>
            <w:proofErr w:type="gramEnd"/>
            <w:r w:rsidRPr="00356770">
              <w:rPr>
                <w:rFonts w:asciiTheme="majorEastAsia" w:eastAsiaTheme="majorEastAsia" w:hAnsiTheme="majorEastAsia" w:cstheme="majorEastAsia"/>
                <w:color w:val="0D0D0D" w:themeColor="text1" w:themeTint="F2"/>
                <w:szCs w:val="21"/>
              </w:rPr>
              <w:t>变性包括建筑的适应性和可变性。适应性是指使用功能和空间的变化潜力，可变性是指结构和空间上的形态变化。通过利用建筑空间和结构潜力，使建筑空间和功能适应使用者需求的变化，在适应当前需求的同时，使建筑具有更大的弹性以应对变化，以此获得更长的使用寿命。</w:t>
            </w:r>
          </w:p>
          <w:p w14:paraId="6A82D4D4" w14:textId="6206E9F0"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管线分离是指建筑结构体中不埋设设备及管线，将设备及管线与建筑结构体相分离的方式。管线与结构、墙体的寿命不同，给建筑全寿命期的使用和维护带来了很大的困难。建筑结构与设备管线分离设计，可有利</w:t>
            </w:r>
            <w:proofErr w:type="gramStart"/>
            <w:r w:rsidRPr="00356770">
              <w:rPr>
                <w:rFonts w:asciiTheme="majorEastAsia" w:eastAsiaTheme="majorEastAsia" w:hAnsiTheme="majorEastAsia" w:cstheme="majorEastAsia"/>
                <w:color w:val="0D0D0D" w:themeColor="text1" w:themeTint="F2"/>
                <w:szCs w:val="21"/>
              </w:rPr>
              <w:t>千建筑</w:t>
            </w:r>
            <w:proofErr w:type="gramEnd"/>
            <w:r w:rsidRPr="00356770">
              <w:rPr>
                <w:rFonts w:asciiTheme="majorEastAsia" w:eastAsiaTheme="majorEastAsia" w:hAnsiTheme="majorEastAsia" w:cstheme="majorEastAsia"/>
                <w:color w:val="0D0D0D" w:themeColor="text1" w:themeTint="F2"/>
                <w:szCs w:val="21"/>
              </w:rPr>
              <w:t>的长寿化。建筑结构不仅仅指建筑主体结</w:t>
            </w:r>
            <w:r w:rsidRPr="00356770">
              <w:rPr>
                <w:rFonts w:asciiTheme="majorEastAsia" w:eastAsiaTheme="majorEastAsia" w:hAnsiTheme="majorEastAsia" w:cstheme="majorEastAsia"/>
                <w:color w:val="0D0D0D" w:themeColor="text1" w:themeTint="F2"/>
                <w:szCs w:val="21"/>
              </w:rPr>
              <w:lastRenderedPageBreak/>
              <w:t>构，还包括外围护结构和公共管井等可保持长久不变的部分。</w:t>
            </w:r>
          </w:p>
        </w:tc>
        <w:tc>
          <w:tcPr>
            <w:tcW w:w="1009" w:type="pct"/>
            <w:vAlign w:val="center"/>
          </w:tcPr>
          <w:p w14:paraId="382BB73C" w14:textId="3E499473"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查阅相关设计文件、建筑</w:t>
            </w:r>
            <w:proofErr w:type="gramStart"/>
            <w:r w:rsidRPr="00356770">
              <w:rPr>
                <w:rFonts w:asciiTheme="majorEastAsia" w:eastAsiaTheme="majorEastAsia" w:hAnsiTheme="majorEastAsia" w:cstheme="majorEastAsia"/>
                <w:color w:val="0D0D0D" w:themeColor="text1" w:themeTint="F2"/>
                <w:szCs w:val="21"/>
              </w:rPr>
              <w:t>适</w:t>
            </w:r>
            <w:proofErr w:type="gramEnd"/>
            <w:r w:rsidRPr="00356770">
              <w:rPr>
                <w:rFonts w:asciiTheme="majorEastAsia" w:eastAsiaTheme="majorEastAsia" w:hAnsiTheme="majorEastAsia" w:cstheme="majorEastAsia"/>
                <w:color w:val="0D0D0D" w:themeColor="text1" w:themeTint="F2"/>
                <w:szCs w:val="21"/>
              </w:rPr>
              <w:t>变性提升措施的设计说明；评价阶段查阅相关竣工图、建筑</w:t>
            </w:r>
            <w:proofErr w:type="gramStart"/>
            <w:r w:rsidRPr="00356770">
              <w:rPr>
                <w:rFonts w:asciiTheme="majorEastAsia" w:eastAsiaTheme="majorEastAsia" w:hAnsiTheme="majorEastAsia" w:cstheme="majorEastAsia"/>
                <w:color w:val="0D0D0D" w:themeColor="text1" w:themeTint="F2"/>
                <w:szCs w:val="21"/>
              </w:rPr>
              <w:t>适</w:t>
            </w:r>
            <w:proofErr w:type="gramEnd"/>
            <w:r w:rsidRPr="00356770">
              <w:rPr>
                <w:rFonts w:asciiTheme="majorEastAsia" w:eastAsiaTheme="majorEastAsia" w:hAnsiTheme="majorEastAsia" w:cstheme="majorEastAsia"/>
                <w:color w:val="0D0D0D" w:themeColor="text1" w:themeTint="F2"/>
                <w:szCs w:val="21"/>
              </w:rPr>
              <w:t>变性提升措施的设计说明。</w:t>
            </w:r>
          </w:p>
        </w:tc>
        <w:tc>
          <w:tcPr>
            <w:tcW w:w="584" w:type="pct"/>
            <w:vAlign w:val="center"/>
          </w:tcPr>
          <w:p w14:paraId="00215A0F" w14:textId="6774352E"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7</w:t>
            </w:r>
            <w:r w:rsidR="00356770" w:rsidRPr="00356770">
              <w:rPr>
                <w:rFonts w:asciiTheme="majorEastAsia" w:eastAsiaTheme="majorEastAsia" w:hAnsiTheme="majorEastAsia" w:cstheme="majorEastAsia"/>
                <w:color w:val="0D0D0D" w:themeColor="text1" w:themeTint="F2"/>
                <w:szCs w:val="21"/>
              </w:rPr>
              <w:t>+0+0</w:t>
            </w:r>
          </w:p>
        </w:tc>
      </w:tr>
      <w:tr w:rsidR="00356770" w:rsidRPr="00356770" w14:paraId="78FC86C1" w14:textId="77777777" w:rsidTr="00DF1AFE">
        <w:trPr>
          <w:trHeight w:val="299"/>
        </w:trPr>
        <w:tc>
          <w:tcPr>
            <w:tcW w:w="241" w:type="pct"/>
            <w:vMerge/>
            <w:vAlign w:val="center"/>
          </w:tcPr>
          <w:p w14:paraId="00379881"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6FE23912" w14:textId="4FE86CE9"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.2.7</w:t>
            </w:r>
          </w:p>
        </w:tc>
        <w:tc>
          <w:tcPr>
            <w:tcW w:w="1277" w:type="pct"/>
            <w:gridSpan w:val="2"/>
            <w:vAlign w:val="center"/>
          </w:tcPr>
          <w:p w14:paraId="23C70B0E"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采取提升建筑部品部件耐久性的措施。</w:t>
            </w:r>
          </w:p>
          <w:p w14:paraId="152908E8" w14:textId="6B3678D9"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使用耐腐蚀、抗老化、耐久性能好的管材、管线、管件得5分;</w:t>
            </w:r>
          </w:p>
          <w:p w14:paraId="54B447D3" w14:textId="62477A94"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2活动配件选用长寿命产品，并</w:t>
            </w:r>
            <w:proofErr w:type="gramStart"/>
            <w:r w:rsidRPr="00356770">
              <w:rPr>
                <w:rFonts w:asciiTheme="majorEastAsia" w:eastAsiaTheme="majorEastAsia" w:hAnsiTheme="majorEastAsia" w:cstheme="majorEastAsia" w:hint="eastAsia"/>
                <w:color w:val="0D0D0D" w:themeColor="text1" w:themeTint="F2"/>
                <w:szCs w:val="21"/>
              </w:rPr>
              <w:t>考虑部</w:t>
            </w:r>
            <w:proofErr w:type="gramEnd"/>
            <w:r w:rsidRPr="00356770">
              <w:rPr>
                <w:rFonts w:asciiTheme="majorEastAsia" w:eastAsiaTheme="majorEastAsia" w:hAnsiTheme="majorEastAsia" w:cstheme="majorEastAsia" w:hint="eastAsia"/>
                <w:color w:val="0D0D0D" w:themeColor="text1" w:themeTint="F2"/>
                <w:szCs w:val="21"/>
              </w:rPr>
              <w:t>品组合的同寿命性;不同使用寿命的部品组合时，采用便于分别拆换、更新和升级的构造，得5分</w:t>
            </w:r>
          </w:p>
        </w:tc>
        <w:tc>
          <w:tcPr>
            <w:tcW w:w="1283" w:type="pct"/>
            <w:vAlign w:val="center"/>
          </w:tcPr>
          <w:p w14:paraId="23343B40" w14:textId="27D0C7B6"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活动配件指建筑的各种五金配件、管道阀门、开关龙头等，考虑选用长寿命的优质产品，且构造</w:t>
            </w:r>
            <w:proofErr w:type="gramStart"/>
            <w:r w:rsidRPr="00356770">
              <w:rPr>
                <w:rFonts w:asciiTheme="majorEastAsia" w:eastAsiaTheme="majorEastAsia" w:hAnsiTheme="majorEastAsia" w:cstheme="majorEastAsia"/>
                <w:color w:val="0D0D0D" w:themeColor="text1" w:themeTint="F2"/>
                <w:szCs w:val="21"/>
              </w:rPr>
              <w:t>上易千更换</w:t>
            </w:r>
            <w:proofErr w:type="gramEnd"/>
            <w:r w:rsidRPr="00356770">
              <w:rPr>
                <w:rFonts w:asciiTheme="majorEastAsia" w:eastAsiaTheme="majorEastAsia" w:hAnsiTheme="majorEastAsia" w:cstheme="majorEastAsia"/>
                <w:color w:val="0D0D0D" w:themeColor="text1" w:themeTint="F2"/>
                <w:szCs w:val="21"/>
              </w:rPr>
              <w:t>。同时还应考虑为维护、更换操作提供方便条件。部分常见的耐腐蚀、抗老化、耐久性能好的部品部件见表4.2.7</w:t>
            </w:r>
          </w:p>
        </w:tc>
        <w:tc>
          <w:tcPr>
            <w:tcW w:w="1009" w:type="pct"/>
            <w:vAlign w:val="center"/>
          </w:tcPr>
          <w:p w14:paraId="25D1D8AC" w14:textId="0F8A52FC"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查阅相关设计文件、产品设计要求；评价查阅相关竣工图、产品说明书或检测报告。</w:t>
            </w:r>
          </w:p>
        </w:tc>
        <w:tc>
          <w:tcPr>
            <w:tcW w:w="584" w:type="pct"/>
            <w:vAlign w:val="center"/>
          </w:tcPr>
          <w:p w14:paraId="7E7210D4" w14:textId="71B800AF"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00356770" w:rsidRPr="00356770">
              <w:rPr>
                <w:rFonts w:asciiTheme="majorEastAsia" w:eastAsiaTheme="majorEastAsia" w:hAnsiTheme="majorEastAsia" w:cstheme="majorEastAsia"/>
                <w:color w:val="0D0D0D" w:themeColor="text1" w:themeTint="F2"/>
                <w:szCs w:val="21"/>
              </w:rPr>
              <w:t>+0</w:t>
            </w:r>
          </w:p>
        </w:tc>
      </w:tr>
      <w:tr w:rsidR="00356770" w:rsidRPr="00356770" w14:paraId="28F76B9B" w14:textId="77777777" w:rsidTr="00DF1AFE">
        <w:trPr>
          <w:trHeight w:val="299"/>
        </w:trPr>
        <w:tc>
          <w:tcPr>
            <w:tcW w:w="241" w:type="pct"/>
            <w:vMerge/>
            <w:vAlign w:val="center"/>
          </w:tcPr>
          <w:p w14:paraId="74731821"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7E719788" w14:textId="7C5180A3"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.2.8</w:t>
            </w:r>
          </w:p>
        </w:tc>
        <w:tc>
          <w:tcPr>
            <w:tcW w:w="1277" w:type="pct"/>
            <w:gridSpan w:val="2"/>
            <w:vAlign w:val="center"/>
          </w:tcPr>
          <w:p w14:paraId="5E037A65"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提高建筑结构材料的耐久性。</w:t>
            </w:r>
          </w:p>
          <w:p w14:paraId="41FFBDAB" w14:textId="590CE03D"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按100 年进行耐久性设计，得 10 分</w:t>
            </w:r>
          </w:p>
          <w:p w14:paraId="0B1C2CDB"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2采用耐久性能好的建筑结构材料，满足下列条件之一得10分:</w:t>
            </w:r>
          </w:p>
          <w:p w14:paraId="52F177F8"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1)对于混凝土构件，提高钢筋保护层厚度或采用高耐久混凝土;</w:t>
            </w:r>
          </w:p>
          <w:p w14:paraId="14943798"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2)对于钢构件，采用耐候结构钢及</w:t>
            </w:r>
            <w:proofErr w:type="gramStart"/>
            <w:r w:rsidRPr="00356770">
              <w:rPr>
                <w:rFonts w:asciiTheme="majorEastAsia" w:eastAsiaTheme="majorEastAsia" w:hAnsiTheme="majorEastAsia" w:cstheme="majorEastAsia" w:hint="eastAsia"/>
                <w:color w:val="0D0D0D" w:themeColor="text1" w:themeTint="F2"/>
                <w:szCs w:val="21"/>
              </w:rPr>
              <w:t>耐候型防腐涂料</w:t>
            </w:r>
            <w:proofErr w:type="gramEnd"/>
            <w:r w:rsidRPr="00356770">
              <w:rPr>
                <w:rFonts w:asciiTheme="majorEastAsia" w:eastAsiaTheme="majorEastAsia" w:hAnsiTheme="majorEastAsia" w:cstheme="majorEastAsia" w:hint="eastAsia"/>
                <w:color w:val="0D0D0D" w:themeColor="text1" w:themeTint="F2"/>
                <w:szCs w:val="21"/>
              </w:rPr>
              <w:t>;</w:t>
            </w:r>
          </w:p>
          <w:p w14:paraId="66CF2BD3" w14:textId="1525752C"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3)对于木构件，采用防腐木材、耐久木材或耐久木制品</w:t>
            </w:r>
          </w:p>
        </w:tc>
        <w:tc>
          <w:tcPr>
            <w:tcW w:w="1283" w:type="pct"/>
            <w:vAlign w:val="center"/>
          </w:tcPr>
          <w:p w14:paraId="489E340F"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款，按 100 年进行耐久性设计，可在造价提高有限的情况下提高结构综合性能，减少后期检测维修工程量。 </w:t>
            </w:r>
          </w:p>
          <w:p w14:paraId="78400B39"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款第1项，高耐久混凝土指满足设计要求下，结合具体 应用环境（如盐碱地等），对抗</w:t>
            </w:r>
            <w:proofErr w:type="gramStart"/>
            <w:r w:rsidRPr="00356770">
              <w:rPr>
                <w:rFonts w:asciiTheme="majorEastAsia" w:eastAsiaTheme="majorEastAsia" w:hAnsiTheme="majorEastAsia" w:cstheme="majorEastAsia"/>
                <w:color w:val="0D0D0D" w:themeColor="text1" w:themeTint="F2"/>
                <w:szCs w:val="21"/>
              </w:rPr>
              <w:t>渗</w:t>
            </w:r>
            <w:proofErr w:type="gramEnd"/>
            <w:r w:rsidRPr="00356770">
              <w:rPr>
                <w:rFonts w:asciiTheme="majorEastAsia" w:eastAsiaTheme="majorEastAsia" w:hAnsiTheme="majorEastAsia" w:cstheme="majorEastAsia"/>
                <w:color w:val="0D0D0D" w:themeColor="text1" w:themeTint="F2"/>
                <w:szCs w:val="21"/>
              </w:rPr>
              <w:t>性能、抗硫酸盐侵蚀性能、抗 氯离子渗透性能、</w:t>
            </w:r>
            <w:proofErr w:type="gramStart"/>
            <w:r w:rsidRPr="00356770">
              <w:rPr>
                <w:rFonts w:asciiTheme="majorEastAsia" w:eastAsiaTheme="majorEastAsia" w:hAnsiTheme="majorEastAsia" w:cstheme="majorEastAsia"/>
                <w:color w:val="0D0D0D" w:themeColor="text1" w:themeTint="F2"/>
                <w:szCs w:val="21"/>
              </w:rPr>
              <w:t>抗碳化性</w:t>
            </w:r>
            <w:proofErr w:type="gramEnd"/>
            <w:r w:rsidRPr="00356770">
              <w:rPr>
                <w:rFonts w:asciiTheme="majorEastAsia" w:eastAsiaTheme="majorEastAsia" w:hAnsiTheme="majorEastAsia" w:cstheme="majorEastAsia"/>
                <w:color w:val="0D0D0D" w:themeColor="text1" w:themeTint="F2"/>
                <w:szCs w:val="21"/>
              </w:rPr>
              <w:t>能及早期抗裂性能等耐久性指标提出 合理要求的混凝土。</w:t>
            </w:r>
          </w:p>
          <w:p w14:paraId="4BFB7980" w14:textId="77777777" w:rsidR="00DF1AFE" w:rsidRPr="00356770" w:rsidRDefault="00DF1AFE"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款第2项，耐候结构钢是指符合现行国家标准《耐候结构钢》 GB/T 4171 要求的钢材；</w:t>
            </w:r>
            <w:proofErr w:type="gramStart"/>
            <w:r w:rsidRPr="00356770">
              <w:rPr>
                <w:rFonts w:asciiTheme="majorEastAsia" w:eastAsiaTheme="majorEastAsia" w:hAnsiTheme="majorEastAsia" w:cstheme="majorEastAsia"/>
                <w:color w:val="0D0D0D" w:themeColor="text1" w:themeTint="F2"/>
                <w:szCs w:val="21"/>
              </w:rPr>
              <w:t>耐候型防腐涂料</w:t>
            </w:r>
            <w:proofErr w:type="gramEnd"/>
            <w:r w:rsidRPr="00356770">
              <w:rPr>
                <w:rFonts w:asciiTheme="majorEastAsia" w:eastAsiaTheme="majorEastAsia" w:hAnsiTheme="majorEastAsia" w:cstheme="majorEastAsia"/>
                <w:color w:val="0D0D0D" w:themeColor="text1" w:themeTint="F2"/>
                <w:szCs w:val="21"/>
              </w:rPr>
              <w:t>是指符合</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标准《建筑用钢结构防腐涂料》 JG/T 224 II 型面漆和长效型底漆。</w:t>
            </w:r>
          </w:p>
          <w:p w14:paraId="34D11B63" w14:textId="0970FDA4"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第</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款第</w:t>
            </w:r>
            <w:r w:rsidRPr="00356770">
              <w:rPr>
                <w:rFonts w:asciiTheme="majorEastAsia" w:eastAsiaTheme="majorEastAsia" w:hAnsiTheme="majorEastAsia" w:cstheme="majorEastAsia" w:hint="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项，根据国家标准《多高层木结构建筑技术标准》 GB/T 51226 - 2017, 多高层木结构</w:t>
            </w:r>
            <w:r w:rsidRPr="00356770">
              <w:rPr>
                <w:rFonts w:asciiTheme="majorEastAsia" w:eastAsiaTheme="majorEastAsia" w:hAnsiTheme="majorEastAsia" w:cstheme="majorEastAsia"/>
                <w:color w:val="0D0D0D" w:themeColor="text1" w:themeTint="F2"/>
                <w:szCs w:val="21"/>
              </w:rPr>
              <w:lastRenderedPageBreak/>
              <w:t>建筑采用的结构木材可分为方木、原木、规格材、层板胶合木、正交胶合木、结构复合木材、木</w:t>
            </w:r>
            <w:proofErr w:type="gramStart"/>
            <w:r w:rsidRPr="00356770">
              <w:rPr>
                <w:rFonts w:asciiTheme="majorEastAsia" w:eastAsiaTheme="majorEastAsia" w:hAnsiTheme="majorEastAsia" w:cstheme="majorEastAsia"/>
                <w:color w:val="0D0D0D" w:themeColor="text1" w:themeTint="F2"/>
                <w:szCs w:val="21"/>
              </w:rPr>
              <w:t>基结构</w:t>
            </w:r>
            <w:proofErr w:type="gramEnd"/>
            <w:r w:rsidRPr="00356770">
              <w:rPr>
                <w:rFonts w:asciiTheme="majorEastAsia" w:eastAsiaTheme="majorEastAsia" w:hAnsiTheme="majorEastAsia" w:cstheme="majorEastAsia"/>
                <w:color w:val="0D0D0D" w:themeColor="text1" w:themeTint="F2"/>
                <w:szCs w:val="21"/>
              </w:rPr>
              <w:t>板材以及其他结构用锯材，其材质等级应符合现行国家标准《木结构设计标准》 GB 50005 的有关规定。根据现行国家标准《木结构设计标准》 GB 50005, 所有在室外使用，或与土壤直接接触的木构件，应采用防腐木材。</w:t>
            </w:r>
          </w:p>
        </w:tc>
        <w:tc>
          <w:tcPr>
            <w:tcW w:w="1009" w:type="pct"/>
            <w:vAlign w:val="center"/>
          </w:tcPr>
          <w:p w14:paraId="551487B8" w14:textId="4EBF43C2"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查阅相关设计文件；评价查阅相关竣工图、材料用量计算书、材料决算清单。</w:t>
            </w:r>
          </w:p>
        </w:tc>
        <w:tc>
          <w:tcPr>
            <w:tcW w:w="584" w:type="pct"/>
            <w:vAlign w:val="center"/>
          </w:tcPr>
          <w:p w14:paraId="0FA7871F" w14:textId="3D21CB8B" w:rsidR="00DF1AFE" w:rsidRPr="00356770" w:rsidRDefault="00356770"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10+10</w:t>
            </w:r>
          </w:p>
        </w:tc>
      </w:tr>
      <w:tr w:rsidR="00356770" w:rsidRPr="00356770" w14:paraId="1D858C26" w14:textId="77777777" w:rsidTr="00DF1AFE">
        <w:trPr>
          <w:trHeight w:val="299"/>
        </w:trPr>
        <w:tc>
          <w:tcPr>
            <w:tcW w:w="241" w:type="pct"/>
            <w:vMerge/>
            <w:vAlign w:val="center"/>
          </w:tcPr>
          <w:p w14:paraId="7E3CEC1C"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023AEE4E" w14:textId="4D07D78D"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.2.9</w:t>
            </w:r>
          </w:p>
        </w:tc>
        <w:tc>
          <w:tcPr>
            <w:tcW w:w="1277" w:type="pct"/>
            <w:gridSpan w:val="2"/>
            <w:vAlign w:val="center"/>
          </w:tcPr>
          <w:p w14:paraId="60C2C36D" w14:textId="77777777"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合理采用耐久性好、易维护的装饰装修建筑材料。</w:t>
            </w:r>
          </w:p>
          <w:p w14:paraId="645E4731" w14:textId="53A7A070"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采用耐久性好的外饰面材料，得 3分;</w:t>
            </w:r>
          </w:p>
          <w:p w14:paraId="0C9F4457" w14:textId="77777777" w:rsidR="00356770"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采用耐久性好的防水和密封材料，得 3分;</w:t>
            </w:r>
          </w:p>
          <w:p w14:paraId="29D4CAD4" w14:textId="550D7893"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2采用耐久性好、易维护的室内装饰装修材料，得3分</w:t>
            </w:r>
          </w:p>
        </w:tc>
        <w:tc>
          <w:tcPr>
            <w:tcW w:w="1283" w:type="pct"/>
            <w:vAlign w:val="center"/>
          </w:tcPr>
          <w:p w14:paraId="6375EC1A" w14:textId="1A9758BF" w:rsidR="00DF1AFE" w:rsidRPr="00356770" w:rsidRDefault="00DF1AFE"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为了保持建筑物的风格、视觉效果和人居环境，装饰装修材料在一定使用年限后会进行更新替换。如果使用易</w:t>
            </w:r>
            <w:proofErr w:type="gramStart"/>
            <w:r w:rsidRPr="00356770">
              <w:rPr>
                <w:rFonts w:asciiTheme="majorEastAsia" w:eastAsiaTheme="majorEastAsia" w:hAnsiTheme="majorEastAsia" w:cstheme="majorEastAsia"/>
                <w:color w:val="0D0D0D" w:themeColor="text1" w:themeTint="F2"/>
                <w:szCs w:val="21"/>
              </w:rPr>
              <w:t>沾污</w:t>
            </w:r>
            <w:proofErr w:type="gramEnd"/>
            <w:r w:rsidRPr="00356770">
              <w:rPr>
                <w:rFonts w:asciiTheme="majorEastAsia" w:eastAsiaTheme="majorEastAsia" w:hAnsiTheme="majorEastAsia" w:cstheme="majorEastAsia"/>
                <w:color w:val="0D0D0D" w:themeColor="text1" w:themeTint="F2"/>
                <w:szCs w:val="21"/>
              </w:rPr>
              <w:t>、难维护及耐久性差的装饰装修材料或做法，则会在一定程度上增加建筑物的维护成本，且施工也会带来有毒有害物质的排放、粉尘及噪声等问题。对采用耐久性好的装饰装修材料评价内容举例如表</w:t>
            </w: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.2.9</w:t>
            </w:r>
            <w:r w:rsidRPr="00356770">
              <w:rPr>
                <w:rFonts w:asciiTheme="majorEastAsia" w:eastAsiaTheme="majorEastAsia" w:hAnsiTheme="majorEastAsia" w:cstheme="majorEastAsia" w:hint="eastAsia"/>
                <w:color w:val="0D0D0D" w:themeColor="text1" w:themeTint="F2"/>
                <w:szCs w:val="21"/>
              </w:rPr>
              <w:t>。</w:t>
            </w:r>
          </w:p>
        </w:tc>
        <w:tc>
          <w:tcPr>
            <w:tcW w:w="1009" w:type="pct"/>
            <w:vAlign w:val="center"/>
          </w:tcPr>
          <w:p w14:paraId="3DEF7E0F" w14:textId="3B34671C" w:rsidR="00DF1AFE" w:rsidRPr="00356770" w:rsidRDefault="00DF1AFE"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查阅相关设计文件；评价查阅装饰装修竣工图、材料决算清单、材料检测报告及有关耐久性证明材料。</w:t>
            </w:r>
          </w:p>
        </w:tc>
        <w:tc>
          <w:tcPr>
            <w:tcW w:w="584" w:type="pct"/>
            <w:vAlign w:val="center"/>
          </w:tcPr>
          <w:p w14:paraId="27C3CC68" w14:textId="5E1D7C03" w:rsidR="00DF1AFE" w:rsidRPr="00356770" w:rsidRDefault="00356770"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3+3+0</w:t>
            </w:r>
          </w:p>
        </w:tc>
      </w:tr>
      <w:tr w:rsidR="00356770" w:rsidRPr="00356770" w14:paraId="7535A79C" w14:textId="77777777" w:rsidTr="00DF1AFE">
        <w:trPr>
          <w:trHeight w:val="299"/>
        </w:trPr>
        <w:tc>
          <w:tcPr>
            <w:tcW w:w="241" w:type="pct"/>
            <w:vMerge/>
            <w:vAlign w:val="center"/>
          </w:tcPr>
          <w:p w14:paraId="5C1E957B"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p>
        </w:tc>
        <w:tc>
          <w:tcPr>
            <w:tcW w:w="605" w:type="pct"/>
            <w:vAlign w:val="center"/>
          </w:tcPr>
          <w:p w14:paraId="1C598493" w14:textId="77777777"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4154" w:type="pct"/>
            <w:gridSpan w:val="5"/>
            <w:vAlign w:val="center"/>
          </w:tcPr>
          <w:p w14:paraId="313FBCAB" w14:textId="55B3DA16" w:rsidR="00DF1AFE"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安全耐久项总分：</w:t>
            </w:r>
            <w:r w:rsidR="00356770" w:rsidRPr="00356770">
              <w:rPr>
                <w:rFonts w:asciiTheme="majorEastAsia" w:eastAsiaTheme="majorEastAsia" w:hAnsiTheme="majorEastAsia" w:cstheme="majorEastAsia"/>
                <w:color w:val="0D0D0D" w:themeColor="text1" w:themeTint="F2"/>
                <w:szCs w:val="21"/>
              </w:rPr>
              <w:t>73</w:t>
            </w:r>
          </w:p>
        </w:tc>
      </w:tr>
    </w:tbl>
    <w:p w14:paraId="266C146B"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p w14:paraId="1B581362"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表A-</w:t>
      </w:r>
      <w:r w:rsidRPr="00356770">
        <w:rPr>
          <w:rFonts w:asciiTheme="majorEastAsia" w:eastAsiaTheme="majorEastAsia" w:hAnsiTheme="majorEastAsia" w:cstheme="majorEastAsia" w:hint="eastAsia"/>
          <w:b/>
          <w:bCs/>
          <w:color w:val="0D0D0D" w:themeColor="text1" w:themeTint="F2"/>
          <w:szCs w:val="21"/>
        </w:rPr>
        <w:t>2</w:t>
      </w:r>
      <w:r w:rsidRPr="00356770">
        <w:rPr>
          <w:rFonts w:asciiTheme="majorEastAsia" w:eastAsiaTheme="majorEastAsia" w:hAnsiTheme="majorEastAsia" w:cstheme="majorEastAsia"/>
          <w:b/>
          <w:bCs/>
          <w:color w:val="0D0D0D" w:themeColor="text1" w:themeTint="F2"/>
          <w:szCs w:val="21"/>
        </w:rPr>
        <w:t xml:space="preserve"> </w:t>
      </w:r>
      <w:r w:rsidRPr="00356770">
        <w:rPr>
          <w:rFonts w:asciiTheme="majorEastAsia" w:eastAsiaTheme="majorEastAsia" w:hAnsiTheme="majorEastAsia" w:cstheme="majorEastAsia" w:hint="eastAsia"/>
          <w:b/>
          <w:bCs/>
          <w:color w:val="0D0D0D" w:themeColor="text1" w:themeTint="F2"/>
          <w:szCs w:val="21"/>
        </w:rPr>
        <w:t>健康舒适</w:t>
      </w:r>
    </w:p>
    <w:tbl>
      <w:tblPr>
        <w:tblStyle w:val="a3"/>
        <w:tblW w:w="4998" w:type="pct"/>
        <w:tblLook w:val="04A0" w:firstRow="1" w:lastRow="0" w:firstColumn="1" w:lastColumn="0" w:noHBand="0" w:noVBand="1"/>
      </w:tblPr>
      <w:tblGrid>
        <w:gridCol w:w="426"/>
        <w:gridCol w:w="1130"/>
        <w:gridCol w:w="2206"/>
        <w:gridCol w:w="2314"/>
        <w:gridCol w:w="1936"/>
        <w:gridCol w:w="1000"/>
      </w:tblGrid>
      <w:tr w:rsidR="00356770" w:rsidRPr="00356770" w14:paraId="790A05A2" w14:textId="77777777" w:rsidTr="00E51FA6">
        <w:tc>
          <w:tcPr>
            <w:tcW w:w="2087" w:type="pct"/>
            <w:gridSpan w:val="3"/>
            <w:vAlign w:val="center"/>
          </w:tcPr>
          <w:p w14:paraId="1CEC4728"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标准条文</w:t>
            </w:r>
          </w:p>
        </w:tc>
        <w:tc>
          <w:tcPr>
            <w:tcW w:w="1284" w:type="pct"/>
            <w:vAlign w:val="center"/>
          </w:tcPr>
          <w:p w14:paraId="2F7297FC"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1074" w:type="pct"/>
            <w:vAlign w:val="center"/>
          </w:tcPr>
          <w:p w14:paraId="5A3D58D7"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评价方法</w:t>
            </w:r>
          </w:p>
        </w:tc>
        <w:tc>
          <w:tcPr>
            <w:tcW w:w="555" w:type="pct"/>
            <w:vAlign w:val="center"/>
          </w:tcPr>
          <w:p w14:paraId="7E861614"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w:t>
            </w:r>
          </w:p>
        </w:tc>
      </w:tr>
      <w:tr w:rsidR="00356770" w:rsidRPr="00356770" w14:paraId="02ECEC89" w14:textId="77777777" w:rsidTr="00E51FA6">
        <w:tc>
          <w:tcPr>
            <w:tcW w:w="236" w:type="pct"/>
            <w:vMerge w:val="restart"/>
            <w:vAlign w:val="center"/>
          </w:tcPr>
          <w:p w14:paraId="1087082C"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w:t>
            </w:r>
          </w:p>
          <w:p w14:paraId="27513E40"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制</w:t>
            </w:r>
          </w:p>
          <w:p w14:paraId="72CDF4EA"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27" w:type="pct"/>
            <w:vAlign w:val="center"/>
          </w:tcPr>
          <w:p w14:paraId="6239A2C7"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w:t>
            </w:r>
          </w:p>
        </w:tc>
        <w:tc>
          <w:tcPr>
            <w:tcW w:w="1223" w:type="pct"/>
            <w:vAlign w:val="center"/>
          </w:tcPr>
          <w:p w14:paraId="58268A2D" w14:textId="77777777"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条文内容</w:t>
            </w:r>
          </w:p>
        </w:tc>
        <w:tc>
          <w:tcPr>
            <w:tcW w:w="1284" w:type="pct"/>
            <w:vAlign w:val="center"/>
          </w:tcPr>
          <w:p w14:paraId="598FD10A" w14:textId="77777777" w:rsidR="00E51FA6" w:rsidRPr="00356770" w:rsidRDefault="00E51FA6">
            <w:pPr>
              <w:jc w:val="center"/>
              <w:rPr>
                <w:rFonts w:asciiTheme="majorEastAsia" w:eastAsiaTheme="majorEastAsia" w:hAnsiTheme="majorEastAsia" w:cstheme="majorEastAsia"/>
                <w:color w:val="0D0D0D" w:themeColor="text1" w:themeTint="F2"/>
                <w:szCs w:val="21"/>
              </w:rPr>
            </w:pPr>
          </w:p>
        </w:tc>
        <w:tc>
          <w:tcPr>
            <w:tcW w:w="1074" w:type="pct"/>
            <w:vAlign w:val="center"/>
          </w:tcPr>
          <w:p w14:paraId="7D534DA9" w14:textId="77777777" w:rsidR="00E51FA6" w:rsidRPr="00356770" w:rsidRDefault="00E51FA6">
            <w:pPr>
              <w:jc w:val="center"/>
              <w:rPr>
                <w:rFonts w:asciiTheme="majorEastAsia" w:eastAsiaTheme="majorEastAsia" w:hAnsiTheme="majorEastAsia" w:cstheme="majorEastAsia"/>
                <w:color w:val="0D0D0D" w:themeColor="text1" w:themeTint="F2"/>
                <w:szCs w:val="21"/>
              </w:rPr>
            </w:pPr>
          </w:p>
        </w:tc>
        <w:tc>
          <w:tcPr>
            <w:tcW w:w="555" w:type="pct"/>
            <w:vAlign w:val="center"/>
          </w:tcPr>
          <w:p w14:paraId="7FD75536" w14:textId="717E9038" w:rsidR="00E51FA6" w:rsidRPr="00356770" w:rsidRDefault="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B15A3C2" w14:textId="77777777" w:rsidTr="00E51FA6">
        <w:tc>
          <w:tcPr>
            <w:tcW w:w="236" w:type="pct"/>
            <w:vMerge/>
            <w:vAlign w:val="center"/>
          </w:tcPr>
          <w:p w14:paraId="563AF73F"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2F2BFD90" w14:textId="09F710E3"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.1.1</w:t>
            </w:r>
          </w:p>
        </w:tc>
        <w:tc>
          <w:tcPr>
            <w:tcW w:w="1223" w:type="pct"/>
            <w:vAlign w:val="center"/>
          </w:tcPr>
          <w:p w14:paraId="45AB4757" w14:textId="58686F18"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室内空气中的氨、甲醛、苯、总挥发性有机物、氨等污染物浓度应符合现行国家标准《室内空气质量标准》GB/T18883 的有关规定。建筑室内</w:t>
            </w:r>
            <w:r w:rsidRPr="00356770">
              <w:rPr>
                <w:rFonts w:asciiTheme="majorEastAsia" w:eastAsiaTheme="majorEastAsia" w:hAnsiTheme="majorEastAsia" w:cstheme="majorEastAsia" w:hint="eastAsia"/>
                <w:color w:val="0D0D0D" w:themeColor="text1" w:themeTint="F2"/>
                <w:szCs w:val="21"/>
              </w:rPr>
              <w:lastRenderedPageBreak/>
              <w:t>和建筑主出入口处应禁止吸烟，并应在醒目位置设置禁烟标志</w:t>
            </w:r>
          </w:p>
        </w:tc>
        <w:tc>
          <w:tcPr>
            <w:tcW w:w="1284" w:type="pct"/>
            <w:vAlign w:val="center"/>
          </w:tcPr>
          <w:p w14:paraId="69B0B721" w14:textId="77777777" w:rsidR="00E51FA6" w:rsidRPr="00356770" w:rsidRDefault="00E51FA6" w:rsidP="00E51FA6">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时，对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全装修建筑项目，可仅对室内空气中的甲醒、苯、总挥发性有机物进行浓度预评估；对于非全装修建筑项目，本条</w:t>
            </w:r>
            <w:proofErr w:type="gramStart"/>
            <w:r w:rsidRPr="00356770">
              <w:rPr>
                <w:rFonts w:asciiTheme="majorEastAsia" w:eastAsiaTheme="majorEastAsia" w:hAnsiTheme="majorEastAsia" w:cstheme="majorEastAsia"/>
                <w:color w:val="0D0D0D" w:themeColor="text1" w:themeTint="F2"/>
                <w:szCs w:val="21"/>
              </w:rPr>
              <w:t>不</w:t>
            </w:r>
            <w:proofErr w:type="gramEnd"/>
            <w:r w:rsidRPr="00356770">
              <w:rPr>
                <w:rFonts w:asciiTheme="majorEastAsia" w:eastAsiaTheme="majorEastAsia" w:hAnsiTheme="majorEastAsia" w:cstheme="majorEastAsia"/>
                <w:color w:val="0D0D0D" w:themeColor="text1" w:themeTint="F2"/>
                <w:szCs w:val="21"/>
              </w:rPr>
              <w:t xml:space="preserve">参评。 </w:t>
            </w:r>
          </w:p>
          <w:p w14:paraId="3B6E5F2E"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评价时，对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全装修建筑项目，应按本条要求执行；对于非全装修建筑项目，符合现行国家标准《民用建筑工程室内环境污染控制规范》 GB 50325 的有关要求，视为本条达标。</w:t>
            </w:r>
          </w:p>
          <w:p w14:paraId="56DCC020" w14:textId="14463AA9"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时，应综合考虑建筑情况、室内装修设计方案、装修材料的种类和使用量、室内新风量、环境温度等诸多影响因素</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以各种装修材料、家具制品主要污染物的释放特征（如释放速率）为基础，以“总量控制”为原则。</w:t>
            </w:r>
          </w:p>
        </w:tc>
        <w:tc>
          <w:tcPr>
            <w:tcW w:w="1074" w:type="pct"/>
            <w:vAlign w:val="center"/>
          </w:tcPr>
          <w:p w14:paraId="65451BCA" w14:textId="77777777" w:rsidR="00E51FA6" w:rsidRPr="00356770" w:rsidRDefault="00E51FA6" w:rsidP="00E51FA6">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查阅相关设计文件、相关说明文件（装修材料种类、用量，禁止吸烟措施）、预评估分析报告； </w:t>
            </w:r>
          </w:p>
          <w:p w14:paraId="6DC37E90" w14:textId="27480FA4"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评价查阅相关竣工</w:t>
            </w:r>
            <w:r w:rsidRPr="00356770">
              <w:rPr>
                <w:rFonts w:asciiTheme="majorEastAsia" w:eastAsiaTheme="majorEastAsia" w:hAnsiTheme="majorEastAsia" w:cstheme="majorEastAsia"/>
                <w:color w:val="0D0D0D" w:themeColor="text1" w:themeTint="F2"/>
                <w:szCs w:val="21"/>
              </w:rPr>
              <w:lastRenderedPageBreak/>
              <w:t>图、相关说明文件（装修材料种类、用最，禁止吸烟措施）、预评估分析报告，投入使用的项目尚应查阅室内空气质量检测报告、禁烟标志。</w:t>
            </w:r>
          </w:p>
        </w:tc>
        <w:tc>
          <w:tcPr>
            <w:tcW w:w="555" w:type="pct"/>
            <w:vAlign w:val="center"/>
          </w:tcPr>
          <w:p w14:paraId="7FDB4C93" w14:textId="1CFBDEA8"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lastRenderedPageBreak/>
              <w:t>满足</w:t>
            </w:r>
          </w:p>
        </w:tc>
      </w:tr>
      <w:tr w:rsidR="00356770" w:rsidRPr="00356770" w14:paraId="71E7881E" w14:textId="77777777" w:rsidTr="00E51FA6">
        <w:tc>
          <w:tcPr>
            <w:tcW w:w="236" w:type="pct"/>
            <w:vMerge/>
            <w:vAlign w:val="center"/>
          </w:tcPr>
          <w:p w14:paraId="283802CC"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7D0243B" w14:textId="150D8F7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.1.2</w:t>
            </w:r>
          </w:p>
        </w:tc>
        <w:tc>
          <w:tcPr>
            <w:tcW w:w="1223" w:type="pct"/>
            <w:vAlign w:val="center"/>
          </w:tcPr>
          <w:p w14:paraId="570A8FEC" w14:textId="029AA955"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应采取措施避免厨房、餐厅、打印复印室、卫生间、地下车库等区域的空气和污染物串通到其他空间;应防止厨房、卫生间的排气倒灌。</w:t>
            </w:r>
          </w:p>
        </w:tc>
        <w:tc>
          <w:tcPr>
            <w:tcW w:w="1284" w:type="pct"/>
            <w:vAlign w:val="center"/>
          </w:tcPr>
          <w:p w14:paraId="4B403C2E" w14:textId="128CD8B4"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避免厨房、餐厅、打印复印室、卫生间、地下车库等区域的空气和污染物串通到室内其他空间，为此要保证合理的气流组织，采取合理的排风措施避免污染物扩散，将厨房和卫生间设置于建筑单元（或户型）自然通风的负压侧，防止厨房或卫生间的气味进入室内而影响室内空气质量。同时，可以对不同功能房间保证一定压差，避免气味或污染物串通到室内其他空间。如设置机械排风，应保证负压，还应注意其取风口和排风口的位置，避免短路或污染。</w:t>
            </w:r>
          </w:p>
        </w:tc>
        <w:tc>
          <w:tcPr>
            <w:tcW w:w="1074" w:type="pct"/>
            <w:vAlign w:val="center"/>
          </w:tcPr>
          <w:p w14:paraId="406227DD" w14:textId="77777777" w:rsidR="00E51FA6" w:rsidRPr="00356770" w:rsidRDefault="00E51FA6" w:rsidP="00E51FA6">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查阅相关设计文件、气流组织模拟分析报告；评价查阅相关竣工图、气流组织模拟分析报告、相 </w:t>
            </w:r>
          </w:p>
          <w:p w14:paraId="7A519CAE" w14:textId="10A02527"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关产品</w:t>
            </w:r>
            <w:proofErr w:type="gramEnd"/>
            <w:r w:rsidRPr="00356770">
              <w:rPr>
                <w:rFonts w:asciiTheme="majorEastAsia" w:eastAsiaTheme="majorEastAsia" w:hAnsiTheme="majorEastAsia" w:cstheme="majorEastAsia"/>
                <w:color w:val="0D0D0D" w:themeColor="text1" w:themeTint="F2"/>
                <w:szCs w:val="21"/>
              </w:rPr>
              <w:t>性能检测报告或质量合格证书。</w:t>
            </w:r>
          </w:p>
        </w:tc>
        <w:tc>
          <w:tcPr>
            <w:tcW w:w="555" w:type="pct"/>
            <w:vAlign w:val="center"/>
          </w:tcPr>
          <w:p w14:paraId="27F4B599" w14:textId="1F6FA2D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0B958464" w14:textId="77777777" w:rsidTr="00E51FA6">
        <w:tc>
          <w:tcPr>
            <w:tcW w:w="236" w:type="pct"/>
            <w:vMerge/>
            <w:vAlign w:val="center"/>
          </w:tcPr>
          <w:p w14:paraId="5A5DE96C"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5FD0BE42" w14:textId="61502C23"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3</w:t>
            </w:r>
          </w:p>
        </w:tc>
        <w:tc>
          <w:tcPr>
            <w:tcW w:w="1223" w:type="pct"/>
            <w:vAlign w:val="center"/>
          </w:tcPr>
          <w:p w14:paraId="1D4B817C"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给水排水系统的设置应符合下列规定1．生活饮用水水质应满足现行国家标准</w:t>
            </w:r>
            <w:r w:rsidRPr="00356770">
              <w:rPr>
                <w:rFonts w:asciiTheme="majorEastAsia" w:eastAsiaTheme="majorEastAsia" w:hAnsiTheme="majorEastAsia" w:cstheme="majorEastAsia" w:hint="eastAsia"/>
                <w:color w:val="0D0D0D" w:themeColor="text1" w:themeTint="F2"/>
                <w:szCs w:val="21"/>
              </w:rPr>
              <w:lastRenderedPageBreak/>
              <w:t>《生活饮用水卫生标准》GB 5749 的要求。</w:t>
            </w:r>
          </w:p>
          <w:p w14:paraId="74B343CA"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应制定水池、水箱等储水设施定期清洗消毒计划并实施且生活饮用水储水设施每半年清洗消毒不应少于 1次。</w:t>
            </w:r>
          </w:p>
          <w:p w14:paraId="1C3CA31B"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3.应使用构造内自带水封的便器，且其水封深度不应小于50mm。</w:t>
            </w:r>
          </w:p>
          <w:p w14:paraId="661FC4A3" w14:textId="5D4A0D10"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非传统水源管道和设备应设置明确、清晰的永久性标识。</w:t>
            </w:r>
          </w:p>
        </w:tc>
        <w:tc>
          <w:tcPr>
            <w:tcW w:w="1284" w:type="pct"/>
            <w:vAlign w:val="center"/>
          </w:tcPr>
          <w:p w14:paraId="6ABDF0CE"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建筑生活饮用水用水点出水水质的常规指标应符合现行国家标准《生活饮用水卫生标</w:t>
            </w:r>
            <w:r w:rsidRPr="00356770">
              <w:rPr>
                <w:rFonts w:asciiTheme="majorEastAsia" w:eastAsiaTheme="majorEastAsia" w:hAnsiTheme="majorEastAsia" w:cstheme="majorEastAsia"/>
                <w:color w:val="0D0D0D" w:themeColor="text1" w:themeTint="F2"/>
                <w:szCs w:val="21"/>
              </w:rPr>
              <w:lastRenderedPageBreak/>
              <w:t>准》 GB 5749 的规定。</w:t>
            </w:r>
          </w:p>
          <w:p w14:paraId="13CBEC0D"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储水设施清洗后应进行水质检测，水质合格后方可恢复供水。</w:t>
            </w:r>
          </w:p>
          <w:p w14:paraId="112B60B4"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便器构造内自带水封时，有效水封深度不得小于 50mm, 且不能采用活动机械密封替代水封。</w:t>
            </w:r>
          </w:p>
          <w:p w14:paraId="6BC7992C" w14:textId="482992C9"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要求对非传统水源的管道和设备设置明确、清晰的永久标识，管道标记的颜色</w:t>
            </w:r>
            <w:r w:rsidRPr="00356770">
              <w:rPr>
                <w:rFonts w:asciiTheme="majorEastAsia" w:eastAsiaTheme="majorEastAsia" w:hAnsiTheme="majorEastAsia" w:cstheme="majorEastAsia" w:hint="eastAsia"/>
                <w:color w:val="0D0D0D" w:themeColor="text1" w:themeTint="F2"/>
                <w:szCs w:val="21"/>
              </w:rPr>
              <w:t>。</w:t>
            </w:r>
          </w:p>
        </w:tc>
        <w:tc>
          <w:tcPr>
            <w:tcW w:w="1074" w:type="pct"/>
            <w:vAlign w:val="center"/>
          </w:tcPr>
          <w:p w14:paraId="634C25C4" w14:textId="7DF1081A"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查阅市政供水的水质检测报告（可用同一水源邻近项目一年以内的</w:t>
            </w:r>
            <w:r w:rsidRPr="00356770">
              <w:rPr>
                <w:rFonts w:asciiTheme="majorEastAsia" w:eastAsiaTheme="majorEastAsia" w:hAnsiTheme="majorEastAsia" w:cstheme="majorEastAsia"/>
                <w:color w:val="0D0D0D" w:themeColor="text1" w:themeTint="F2"/>
                <w:szCs w:val="21"/>
              </w:rPr>
              <w:lastRenderedPageBreak/>
              <w:t>水质检测报告）、相关设计文件（</w:t>
            </w:r>
            <w:proofErr w:type="gramStart"/>
            <w:r w:rsidRPr="00356770">
              <w:rPr>
                <w:rFonts w:asciiTheme="majorEastAsia" w:eastAsiaTheme="majorEastAsia" w:hAnsiTheme="majorEastAsia" w:cstheme="majorEastAsia"/>
                <w:color w:val="0D0D0D" w:themeColor="text1" w:themeTint="F2"/>
                <w:szCs w:val="21"/>
              </w:rPr>
              <w:t>含卫生</w:t>
            </w:r>
            <w:proofErr w:type="gramEnd"/>
            <w:r w:rsidRPr="00356770">
              <w:rPr>
                <w:rFonts w:asciiTheme="majorEastAsia" w:eastAsiaTheme="majorEastAsia" w:hAnsiTheme="majorEastAsia" w:cstheme="majorEastAsia"/>
                <w:color w:val="0D0D0D" w:themeColor="text1" w:themeTint="F2"/>
                <w:szCs w:val="21"/>
              </w:rPr>
              <w:t>器具和地漏水封要求的说明、标识设置说明）；评价查阅相关竣工图、产品说明、各用水部门水质检测报告、管理制度、工作记录。</w:t>
            </w:r>
          </w:p>
        </w:tc>
        <w:tc>
          <w:tcPr>
            <w:tcW w:w="555" w:type="pct"/>
            <w:vAlign w:val="center"/>
          </w:tcPr>
          <w:p w14:paraId="7B51C8E9" w14:textId="0BE0141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lastRenderedPageBreak/>
              <w:t>满足</w:t>
            </w:r>
          </w:p>
        </w:tc>
      </w:tr>
      <w:tr w:rsidR="00356770" w:rsidRPr="00356770" w14:paraId="1575D70D" w14:textId="77777777" w:rsidTr="00E51FA6">
        <w:tc>
          <w:tcPr>
            <w:tcW w:w="236" w:type="pct"/>
            <w:vMerge/>
            <w:vAlign w:val="center"/>
          </w:tcPr>
          <w:p w14:paraId="22CFD67E"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1A647100" w14:textId="0CC77C5B"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4</w:t>
            </w:r>
          </w:p>
        </w:tc>
        <w:tc>
          <w:tcPr>
            <w:tcW w:w="1223" w:type="pct"/>
            <w:vAlign w:val="center"/>
          </w:tcPr>
          <w:p w14:paraId="256C65A7" w14:textId="491C61C2"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主要功能房间的室内噪声级和隔声性能应符合下列规定</w:t>
            </w:r>
          </w:p>
          <w:p w14:paraId="09CB5819" w14:textId="77777777"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室内噪声级应满足现行国家标准《民用建筑隔声设计规范》GB 50118 中的低限要求。</w:t>
            </w:r>
          </w:p>
          <w:p w14:paraId="1A4FBC95" w14:textId="58FF696F"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外墙、隔墙、楼板和门窗的隔声性能应满足现行国家标准《民用建筑隔声设计规范》GB 50118 中的低限要求。</w:t>
            </w:r>
          </w:p>
        </w:tc>
        <w:tc>
          <w:tcPr>
            <w:tcW w:w="1284" w:type="pct"/>
            <w:vAlign w:val="center"/>
          </w:tcPr>
          <w:p w14:paraId="22D0BA8B"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对于建筑外部噪声源的控制，应首先在规划选址阶段就做综合</w:t>
            </w:r>
            <w:proofErr w:type="gramStart"/>
            <w:r w:rsidRPr="00356770">
              <w:rPr>
                <w:rFonts w:asciiTheme="majorEastAsia" w:eastAsiaTheme="majorEastAsia" w:hAnsiTheme="majorEastAsia" w:cstheme="majorEastAsia"/>
                <w:color w:val="0D0D0D" w:themeColor="text1" w:themeTint="F2"/>
                <w:szCs w:val="21"/>
              </w:rPr>
              <w:t>考量</w:t>
            </w:r>
            <w:proofErr w:type="gramEnd"/>
            <w:r w:rsidRPr="00356770">
              <w:rPr>
                <w:rFonts w:asciiTheme="majorEastAsia" w:eastAsiaTheme="majorEastAsia" w:hAnsiTheme="majorEastAsia" w:cstheme="majorEastAsia"/>
                <w:color w:val="0D0D0D" w:themeColor="text1" w:themeTint="F2"/>
                <w:szCs w:val="21"/>
              </w:rPr>
              <w:t>，建筑设计时应进行合理的平面布局，避免或降低主要功能房间受到室外交通、活动区域等的干扰。</w:t>
            </w:r>
          </w:p>
          <w:p w14:paraId="000260B9" w14:textId="3C912BF5"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外墙、隔墙和门窗的隔声性能指空气声隔声性能</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楼板的隔声性能除了空气声隔声性能之外，还包括撞击声隔声性能。</w:t>
            </w:r>
          </w:p>
        </w:tc>
        <w:tc>
          <w:tcPr>
            <w:tcW w:w="1074" w:type="pct"/>
            <w:vAlign w:val="center"/>
          </w:tcPr>
          <w:p w14:paraId="28501818" w14:textId="77777777" w:rsidR="00E51FA6" w:rsidRPr="00356770" w:rsidRDefault="00E51FA6" w:rsidP="00E51FA6">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查阅相关设计文件、环评报告、噪声分析报告、构件隔声性能的实验室检验报告；评价查阅相关 </w:t>
            </w:r>
          </w:p>
          <w:p w14:paraId="76453C58" w14:textId="23B90C24"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竣工图、噪声分析报告、室内噪声级检测报告、构件隔声性能的实验室检验报告。</w:t>
            </w:r>
          </w:p>
        </w:tc>
        <w:tc>
          <w:tcPr>
            <w:tcW w:w="555" w:type="pct"/>
            <w:vAlign w:val="center"/>
          </w:tcPr>
          <w:p w14:paraId="59290370" w14:textId="2E6E8860"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B0E583F" w14:textId="77777777" w:rsidTr="00E51FA6">
        <w:tc>
          <w:tcPr>
            <w:tcW w:w="236" w:type="pct"/>
            <w:vMerge/>
            <w:vAlign w:val="center"/>
          </w:tcPr>
          <w:p w14:paraId="0E06D527"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372BFABB" w14:textId="30FEC3CB"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5</w:t>
            </w:r>
          </w:p>
        </w:tc>
        <w:tc>
          <w:tcPr>
            <w:tcW w:w="1223" w:type="pct"/>
            <w:vAlign w:val="center"/>
          </w:tcPr>
          <w:p w14:paraId="6EBD14A6"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建筑照明应符合下列规定</w:t>
            </w:r>
          </w:p>
          <w:p w14:paraId="7E39D0E8" w14:textId="10F0536C"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1．照明数量和质量应符合现行国家标准《建筑照明设计标准》GB 50034 的规定;</w:t>
            </w:r>
          </w:p>
          <w:p w14:paraId="2D3EAF4D" w14:textId="0B104534"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2．人员长期停留的场所应采用符合现行国家标准《灯和灯系统的光生物安全性》GB/T 20145 规定的无危险类照明产品;3 选用 LED照明产品的光输出波形的波动深度应满足现行</w:t>
            </w:r>
            <w:r w:rsidRPr="00356770">
              <w:rPr>
                <w:rFonts w:asciiTheme="majorEastAsia" w:eastAsiaTheme="majorEastAsia" w:hAnsiTheme="majorEastAsia" w:cstheme="majorEastAsia" w:hint="eastAsia"/>
                <w:color w:val="0D0D0D" w:themeColor="text1" w:themeTint="F2"/>
                <w:szCs w:val="21"/>
              </w:rPr>
              <w:lastRenderedPageBreak/>
              <w:t>国家标准《LED室内照明应用技术要求》GB/T 3831的规定。</w:t>
            </w:r>
          </w:p>
        </w:tc>
        <w:tc>
          <w:tcPr>
            <w:tcW w:w="1284" w:type="pct"/>
            <w:vAlign w:val="center"/>
          </w:tcPr>
          <w:p w14:paraId="58D7EEDE" w14:textId="0D137621"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各类民用建筑中的室内照度、眩光值、一般显色指数等照明数量和质量指标应满足现行国家标准《建筑照明设计标准》 GB50034 的有关规定。照明产品光生物安全性</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光源光输出波形的波动深度又称为频闪比，用来评价光输出的波动对人的影响。</w:t>
            </w:r>
          </w:p>
        </w:tc>
        <w:tc>
          <w:tcPr>
            <w:tcW w:w="1074" w:type="pct"/>
            <w:vAlign w:val="center"/>
          </w:tcPr>
          <w:p w14:paraId="6EF3A8F1" w14:textId="3EA79A8B"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查阅相关设计文件、计算书；评价查阅相关竣工图、计算书、现场检测报告、产品说明书及产品型式检验报告。</w:t>
            </w:r>
          </w:p>
        </w:tc>
        <w:tc>
          <w:tcPr>
            <w:tcW w:w="555" w:type="pct"/>
            <w:vAlign w:val="center"/>
          </w:tcPr>
          <w:p w14:paraId="14A50DC7" w14:textId="3B9D02A3"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5EE6407D" w14:textId="77777777" w:rsidTr="00E51FA6">
        <w:tc>
          <w:tcPr>
            <w:tcW w:w="236" w:type="pct"/>
            <w:vMerge/>
            <w:vAlign w:val="center"/>
          </w:tcPr>
          <w:p w14:paraId="2B0E3EE9"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5C9031E8" w14:textId="7244A280"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6</w:t>
            </w:r>
          </w:p>
        </w:tc>
        <w:tc>
          <w:tcPr>
            <w:tcW w:w="1223" w:type="pct"/>
            <w:vAlign w:val="center"/>
          </w:tcPr>
          <w:p w14:paraId="22D77324" w14:textId="4A720F84"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应采取措施保障室内热环境。采用集中供暖空调系统的建筑，房间内的温度、湿度、新风量等设计参数应符合现行国家标准《民用建筑供暖通风与空气调节设计规范》GB 50736 的有关规定;采用非集中供暖空调系统的建筑，应具有保障室内热环境的措施或预留条件。</w:t>
            </w:r>
          </w:p>
        </w:tc>
        <w:tc>
          <w:tcPr>
            <w:tcW w:w="1284" w:type="pct"/>
            <w:vAlign w:val="center"/>
          </w:tcPr>
          <w:p w14:paraId="3E68E819" w14:textId="3EE09612"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建筑应满足室内热环境舒适度的要求。采用集中供暖空</w:t>
            </w:r>
            <w:proofErr w:type="gramStart"/>
            <w:r w:rsidRPr="00356770">
              <w:rPr>
                <w:rFonts w:asciiTheme="majorEastAsia" w:eastAsiaTheme="majorEastAsia" w:hAnsiTheme="majorEastAsia" w:cstheme="majorEastAsia"/>
                <w:color w:val="0D0D0D" w:themeColor="text1" w:themeTint="F2"/>
                <w:szCs w:val="21"/>
              </w:rPr>
              <w:t>涸</w:t>
            </w:r>
            <w:proofErr w:type="gramEnd"/>
            <w:r w:rsidRPr="00356770">
              <w:rPr>
                <w:rFonts w:asciiTheme="majorEastAsia" w:eastAsiaTheme="majorEastAsia" w:hAnsiTheme="majorEastAsia" w:cstheme="majorEastAsia"/>
                <w:color w:val="0D0D0D" w:themeColor="text1" w:themeTint="F2"/>
                <w:szCs w:val="21"/>
              </w:rPr>
              <w:t>系统</w:t>
            </w:r>
            <w:r w:rsidRPr="00356770">
              <w:rPr>
                <w:rFonts w:asciiTheme="majorEastAsia" w:eastAsiaTheme="majorEastAsia" w:hAnsiTheme="majorEastAsia" w:cstheme="majorEastAsia" w:hint="eastAsia"/>
                <w:color w:val="0D0D0D" w:themeColor="text1" w:themeTint="F2"/>
                <w:szCs w:val="21"/>
              </w:rPr>
              <w:t>的</w:t>
            </w:r>
            <w:r w:rsidRPr="00356770">
              <w:rPr>
                <w:rFonts w:asciiTheme="majorEastAsia" w:eastAsiaTheme="majorEastAsia" w:hAnsiTheme="majorEastAsia" w:cstheme="majorEastAsia"/>
                <w:color w:val="0D0D0D" w:themeColor="text1" w:themeTint="F2"/>
                <w:szCs w:val="21"/>
              </w:rPr>
              <w:t>建筑，其房间的温度、湿度、新风量等是室内热环境的重要指标，应满足现行国家标准《民用建筑供暖通风与空气调节设计规范》GB 50736 中的有关规定。对于非集中供暖空调系统的建筑，应有保障室内热环境的措施或预留条件，如分体空调安装条件等。</w:t>
            </w:r>
          </w:p>
        </w:tc>
        <w:tc>
          <w:tcPr>
            <w:tcW w:w="1074" w:type="pct"/>
            <w:vAlign w:val="center"/>
          </w:tcPr>
          <w:p w14:paraId="599CCD83" w14:textId="48EA06A2"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查阅相关设计文件；评价查阅相关竣工图、室内温湿度检测报告。</w:t>
            </w:r>
          </w:p>
        </w:tc>
        <w:tc>
          <w:tcPr>
            <w:tcW w:w="555" w:type="pct"/>
            <w:vAlign w:val="center"/>
          </w:tcPr>
          <w:p w14:paraId="6F8510E6" w14:textId="535BF2FF"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364292D4" w14:textId="77777777" w:rsidTr="00E51FA6">
        <w:tc>
          <w:tcPr>
            <w:tcW w:w="236" w:type="pct"/>
            <w:vMerge/>
            <w:vAlign w:val="center"/>
          </w:tcPr>
          <w:p w14:paraId="70AE925B"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7431949B" w14:textId="7B9D306B"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7</w:t>
            </w:r>
          </w:p>
        </w:tc>
        <w:tc>
          <w:tcPr>
            <w:tcW w:w="1223" w:type="pct"/>
            <w:vAlign w:val="center"/>
          </w:tcPr>
          <w:p w14:paraId="091DBE92" w14:textId="6F0B7D9D"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围护结构热工性能应符合下列规定：1．在室内设计温度、湿度条件下，</w:t>
            </w:r>
            <w:proofErr w:type="gramStart"/>
            <w:r w:rsidRPr="00356770">
              <w:rPr>
                <w:rFonts w:asciiTheme="majorEastAsia" w:eastAsiaTheme="majorEastAsia" w:hAnsiTheme="majorEastAsia" w:cstheme="majorEastAsia" w:hint="eastAsia"/>
                <w:color w:val="0D0D0D" w:themeColor="text1" w:themeTint="F2"/>
                <w:szCs w:val="21"/>
              </w:rPr>
              <w:t>建筑非</w:t>
            </w:r>
            <w:proofErr w:type="gramEnd"/>
            <w:r w:rsidRPr="00356770">
              <w:rPr>
                <w:rFonts w:asciiTheme="majorEastAsia" w:eastAsiaTheme="majorEastAsia" w:hAnsiTheme="majorEastAsia" w:cstheme="majorEastAsia" w:hint="eastAsia"/>
                <w:color w:val="0D0D0D" w:themeColor="text1" w:themeTint="F2"/>
                <w:szCs w:val="21"/>
              </w:rPr>
              <w:t>透光围护结构内表面不得结露。</w:t>
            </w:r>
          </w:p>
          <w:p w14:paraId="55248C0D"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2．供暖建筑的屋面、外墙内部不应产生冷凝。</w:t>
            </w:r>
          </w:p>
          <w:p w14:paraId="2D1EFFB6" w14:textId="761DC495"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3．屋顶和外墙隔热性能应满足现行国家标准《民用建筑热工设计规范》GB50176的要求。</w:t>
            </w:r>
          </w:p>
        </w:tc>
        <w:tc>
          <w:tcPr>
            <w:tcW w:w="1284" w:type="pct"/>
            <w:vAlign w:val="center"/>
          </w:tcPr>
          <w:p w14:paraId="1944B745" w14:textId="550D4360"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民用建筑的热工设计与地区气候相适应，保证室内基本的热环境要求。建筑热工设计主要包括建筑物及其围护结构的保温、防热和防潮设计。</w:t>
            </w:r>
          </w:p>
        </w:tc>
        <w:tc>
          <w:tcPr>
            <w:tcW w:w="1074" w:type="pct"/>
            <w:vAlign w:val="center"/>
          </w:tcPr>
          <w:p w14:paraId="7C3796D9" w14:textId="78DEA17F"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查阅相关设计文件、建筑</w:t>
            </w:r>
            <w:proofErr w:type="gramStart"/>
            <w:r w:rsidRPr="00356770">
              <w:rPr>
                <w:rFonts w:asciiTheme="majorEastAsia" w:eastAsiaTheme="majorEastAsia" w:hAnsiTheme="majorEastAsia" w:cstheme="majorEastAsia"/>
                <w:color w:val="0D0D0D" w:themeColor="text1" w:themeTint="F2"/>
                <w:szCs w:val="21"/>
              </w:rPr>
              <w:t>围护结构防结露</w:t>
            </w:r>
            <w:proofErr w:type="gramEnd"/>
            <w:r w:rsidRPr="00356770">
              <w:rPr>
                <w:rFonts w:asciiTheme="majorEastAsia" w:eastAsiaTheme="majorEastAsia" w:hAnsiTheme="majorEastAsia" w:cstheme="majorEastAsia"/>
                <w:color w:val="0D0D0D" w:themeColor="text1" w:themeTint="F2"/>
                <w:szCs w:val="21"/>
              </w:rPr>
              <w:t>验算报告、隔热性能验算报告、内部冷凝验算报告；评价查阅相关竣工图，检查建筑构造与计算报告一致性。</w:t>
            </w:r>
          </w:p>
        </w:tc>
        <w:tc>
          <w:tcPr>
            <w:tcW w:w="555" w:type="pct"/>
            <w:vAlign w:val="center"/>
          </w:tcPr>
          <w:p w14:paraId="7BA2F94A" w14:textId="22333BD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472D3FB2" w14:textId="77777777" w:rsidTr="00E51FA6">
        <w:tc>
          <w:tcPr>
            <w:tcW w:w="236" w:type="pct"/>
            <w:vMerge/>
            <w:vAlign w:val="center"/>
          </w:tcPr>
          <w:p w14:paraId="2CAD3EC7"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D4E2459" w14:textId="2B31E93D"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8</w:t>
            </w:r>
          </w:p>
        </w:tc>
        <w:tc>
          <w:tcPr>
            <w:tcW w:w="1223" w:type="pct"/>
            <w:vAlign w:val="center"/>
          </w:tcPr>
          <w:p w14:paraId="09D52BD3" w14:textId="0A8B2263"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主要功能房间应具有现场独立控制的热环境调节装置。</w:t>
            </w:r>
          </w:p>
        </w:tc>
        <w:tc>
          <w:tcPr>
            <w:tcW w:w="1284" w:type="pct"/>
            <w:vAlign w:val="center"/>
          </w:tcPr>
          <w:p w14:paraId="51FEE7B0" w14:textId="0FE68D5C"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采用个性化热环境调节 装置可以满足不同人员对热舒适的差异化需求，从而最大限度地改善个体热舒适性，提高室内人员对室内热环境的满意率。</w:t>
            </w:r>
          </w:p>
        </w:tc>
        <w:tc>
          <w:tcPr>
            <w:tcW w:w="1074" w:type="pct"/>
            <w:vAlign w:val="center"/>
          </w:tcPr>
          <w:p w14:paraId="3B0B20F5" w14:textId="1AC9BE98"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查阅相关设计文件；评价查阅相关竣工图、产品说明书。</w:t>
            </w:r>
          </w:p>
        </w:tc>
        <w:tc>
          <w:tcPr>
            <w:tcW w:w="555" w:type="pct"/>
            <w:vAlign w:val="center"/>
          </w:tcPr>
          <w:p w14:paraId="34FC1E90" w14:textId="0800255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30CCA893" w14:textId="77777777" w:rsidTr="00E51FA6">
        <w:tc>
          <w:tcPr>
            <w:tcW w:w="236" w:type="pct"/>
            <w:vMerge/>
            <w:vAlign w:val="center"/>
          </w:tcPr>
          <w:p w14:paraId="0DCB32FF"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47701456" w14:textId="4EFEB3AA"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9</w:t>
            </w:r>
          </w:p>
        </w:tc>
        <w:tc>
          <w:tcPr>
            <w:tcW w:w="1223" w:type="pct"/>
            <w:vAlign w:val="center"/>
          </w:tcPr>
          <w:p w14:paraId="31C90DD2" w14:textId="65E1766D"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地下车库应设置与排风设备联动的一氧化碳浓度监测装置。</w:t>
            </w:r>
          </w:p>
        </w:tc>
        <w:tc>
          <w:tcPr>
            <w:tcW w:w="1284" w:type="pct"/>
            <w:vAlign w:val="center"/>
          </w:tcPr>
          <w:p w14:paraId="0923FE52" w14:textId="48A17B39"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有地下车库的建筑，车库设置与排风设备联动的一氧化碳检测装置，超过一定的量值时即报警并启动排</w:t>
            </w:r>
            <w:r w:rsidRPr="00356770">
              <w:rPr>
                <w:rFonts w:asciiTheme="majorEastAsia" w:eastAsiaTheme="majorEastAsia" w:hAnsiTheme="majorEastAsia" w:cstheme="majorEastAsia"/>
                <w:color w:val="0D0D0D" w:themeColor="text1" w:themeTint="F2"/>
                <w:szCs w:val="21"/>
              </w:rPr>
              <w:lastRenderedPageBreak/>
              <w:t>风系统。</w:t>
            </w:r>
          </w:p>
        </w:tc>
        <w:tc>
          <w:tcPr>
            <w:tcW w:w="1074" w:type="pct"/>
            <w:vAlign w:val="center"/>
          </w:tcPr>
          <w:p w14:paraId="44E038C6" w14:textId="760127C6" w:rsidR="00E51FA6" w:rsidRPr="00356770" w:rsidRDefault="00E51FA6" w:rsidP="00E51FA6">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查阅相关设计文件；评价查阅相关竣工图、运行记录。</w:t>
            </w:r>
          </w:p>
        </w:tc>
        <w:tc>
          <w:tcPr>
            <w:tcW w:w="555" w:type="pct"/>
            <w:vAlign w:val="center"/>
          </w:tcPr>
          <w:p w14:paraId="68EEEB7A" w14:textId="08A4407D"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52C59E0E" w14:textId="77777777" w:rsidTr="00E51FA6">
        <w:trPr>
          <w:trHeight w:val="248"/>
        </w:trPr>
        <w:tc>
          <w:tcPr>
            <w:tcW w:w="236" w:type="pct"/>
            <w:vMerge/>
            <w:vAlign w:val="center"/>
          </w:tcPr>
          <w:p w14:paraId="0204999E"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585F91A"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2507" w:type="pct"/>
            <w:gridSpan w:val="2"/>
            <w:vAlign w:val="center"/>
          </w:tcPr>
          <w:p w14:paraId="7FB1FE7C" w14:textId="73A8720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用于基本</w:t>
            </w:r>
            <w:proofErr w:type="gramStart"/>
            <w:r w:rsidRPr="00356770">
              <w:rPr>
                <w:rFonts w:asciiTheme="majorEastAsia" w:eastAsiaTheme="majorEastAsia" w:hAnsiTheme="majorEastAsia" w:cstheme="majorEastAsia" w:hint="eastAsia"/>
                <w:color w:val="0D0D0D" w:themeColor="text1" w:themeTint="F2"/>
                <w:szCs w:val="21"/>
              </w:rPr>
              <w:t>级评价</w:t>
            </w:r>
            <w:proofErr w:type="gramEnd"/>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用于星级控制</w:t>
            </w:r>
            <w:proofErr w:type="gramStart"/>
            <w:r w:rsidRPr="00356770">
              <w:rPr>
                <w:rFonts w:asciiTheme="majorEastAsia" w:eastAsiaTheme="majorEastAsia" w:hAnsiTheme="majorEastAsia" w:cstheme="majorEastAsia" w:hint="eastAsia"/>
                <w:color w:val="0D0D0D" w:themeColor="text1" w:themeTint="F2"/>
                <w:szCs w:val="21"/>
              </w:rPr>
              <w:t>项评价</w:t>
            </w:r>
            <w:proofErr w:type="gramEnd"/>
            <w:r w:rsidRPr="00356770">
              <w:rPr>
                <w:rFonts w:asciiTheme="majorEastAsia" w:eastAsiaTheme="majorEastAsia" w:hAnsiTheme="majorEastAsia" w:cstheme="majorEastAsia" w:hint="eastAsia"/>
                <w:color w:val="0D0D0D" w:themeColor="text1" w:themeTint="F2"/>
                <w:szCs w:val="21"/>
              </w:rPr>
              <w:t>□</w:t>
            </w:r>
          </w:p>
        </w:tc>
        <w:tc>
          <w:tcPr>
            <w:tcW w:w="1629" w:type="pct"/>
            <w:gridSpan w:val="2"/>
            <w:vAlign w:val="center"/>
          </w:tcPr>
          <w:p w14:paraId="6A7CDA0A" w14:textId="717861F3"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评价结果：满足</w:t>
            </w: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不满足□</w:t>
            </w:r>
          </w:p>
        </w:tc>
      </w:tr>
      <w:tr w:rsidR="00356770" w:rsidRPr="00356770" w14:paraId="454CDBD8" w14:textId="77777777" w:rsidTr="00E51FA6">
        <w:trPr>
          <w:trHeight w:val="207"/>
        </w:trPr>
        <w:tc>
          <w:tcPr>
            <w:tcW w:w="236" w:type="pct"/>
            <w:vMerge w:val="restart"/>
            <w:vAlign w:val="center"/>
          </w:tcPr>
          <w:p w14:paraId="024D528F"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w:t>
            </w:r>
          </w:p>
          <w:p w14:paraId="6B64F8C3"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分</w:t>
            </w:r>
          </w:p>
          <w:p w14:paraId="1BA82F41"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27" w:type="pct"/>
            <w:vAlign w:val="center"/>
          </w:tcPr>
          <w:p w14:paraId="1E299613" w14:textId="6B04991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.2.1</w:t>
            </w:r>
          </w:p>
        </w:tc>
        <w:tc>
          <w:tcPr>
            <w:tcW w:w="1223" w:type="pct"/>
            <w:vAlign w:val="center"/>
          </w:tcPr>
          <w:p w14:paraId="0ECF73FE"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控制室内主要空气污染物的浓度，</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12 分并按下列规则分别评分并累计。1． 氨、甲醛、苯、总挥发性有机物、氨等污染物浓度低于现行国家标准《室内空气质量标准》GB/T 18883 规定限值的10%，得3分;低于20%，得6分;</w:t>
            </w:r>
          </w:p>
          <w:p w14:paraId="3C6F18FD" w14:textId="47A195C3"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2．室内 PM2.5年均浓度不高于25ug/m，且室内 </w:t>
            </w:r>
            <w:proofErr w:type="spellStart"/>
            <w:r w:rsidRPr="00356770">
              <w:rPr>
                <w:rFonts w:asciiTheme="majorEastAsia" w:eastAsiaTheme="majorEastAsia" w:hAnsiTheme="majorEastAsia" w:cstheme="majorEastAsia" w:hint="eastAsia"/>
                <w:color w:val="0D0D0D" w:themeColor="text1" w:themeTint="F2"/>
                <w:szCs w:val="21"/>
              </w:rPr>
              <w:t>PMo</w:t>
            </w:r>
            <w:proofErr w:type="spellEnd"/>
            <w:r w:rsidRPr="00356770">
              <w:rPr>
                <w:rFonts w:asciiTheme="majorEastAsia" w:eastAsiaTheme="majorEastAsia" w:hAnsiTheme="majorEastAsia" w:cstheme="majorEastAsia" w:hint="eastAsia"/>
                <w:color w:val="0D0D0D" w:themeColor="text1" w:themeTint="F2"/>
                <w:szCs w:val="21"/>
              </w:rPr>
              <w:t>年均浓度不高于50ug/m，得6分。</w:t>
            </w:r>
          </w:p>
        </w:tc>
        <w:tc>
          <w:tcPr>
            <w:tcW w:w="1284" w:type="pct"/>
            <w:vAlign w:val="center"/>
          </w:tcPr>
          <w:p w14:paraId="6C906695"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时，可仅对甲醒、苯、总挥发性有机物进行浓度预评估。</w:t>
            </w:r>
          </w:p>
          <w:p w14:paraId="0D1E83B2" w14:textId="7ABC4DB9"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时，全装修项目可通过建筑设计因素（门窗渗透风量、新风量、净化设备效率、室内源等）及室外颗粒物水平（建筑所在地近一年环境大气监测数据），对建筑内部颗粒物浓度进行估算。</w:t>
            </w:r>
          </w:p>
        </w:tc>
        <w:tc>
          <w:tcPr>
            <w:tcW w:w="1074" w:type="pct"/>
            <w:vAlign w:val="center"/>
          </w:tcPr>
          <w:p w14:paraId="66AEF8B6" w14:textId="24FEAC1E"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建筑材料使用说明（种类、用量）、污染物浓度预评估分析报告；评价查阅相关竣工图、建筑材料使用说明（种类、用量）、污染物浓度预评估分析报告，投入使用的项目尚应查阅室内空气质量现场检测报告、PM2. PM10 浓度计算报告（附原始监测数据）。</w:t>
            </w:r>
          </w:p>
        </w:tc>
        <w:tc>
          <w:tcPr>
            <w:tcW w:w="555" w:type="pct"/>
            <w:vAlign w:val="center"/>
          </w:tcPr>
          <w:p w14:paraId="61884F08" w14:textId="65C5475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6</w:t>
            </w:r>
            <w:r w:rsidRPr="00356770">
              <w:rPr>
                <w:rFonts w:asciiTheme="majorEastAsia" w:eastAsiaTheme="majorEastAsia" w:hAnsiTheme="majorEastAsia" w:cstheme="majorEastAsia"/>
                <w:color w:val="0D0D0D" w:themeColor="text1" w:themeTint="F2"/>
                <w:szCs w:val="21"/>
              </w:rPr>
              <w:t>+6</w:t>
            </w:r>
          </w:p>
        </w:tc>
      </w:tr>
      <w:tr w:rsidR="00356770" w:rsidRPr="00356770" w14:paraId="7F6AFB04" w14:textId="77777777" w:rsidTr="00E51FA6">
        <w:trPr>
          <w:trHeight w:val="139"/>
        </w:trPr>
        <w:tc>
          <w:tcPr>
            <w:tcW w:w="236" w:type="pct"/>
            <w:vMerge/>
            <w:vAlign w:val="center"/>
          </w:tcPr>
          <w:p w14:paraId="309AC390"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3C4D39D7" w14:textId="4F8DA9D5"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.2.2</w:t>
            </w:r>
          </w:p>
        </w:tc>
        <w:tc>
          <w:tcPr>
            <w:tcW w:w="1223" w:type="pct"/>
            <w:vAlign w:val="center"/>
          </w:tcPr>
          <w:p w14:paraId="79B0AE5D" w14:textId="514F51D7"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选用的装饰装修材料满足国家现行绿色产品评价标准中对有害物质限量的要求，</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8 分。选用满足要求的装饰装修材料达到3类及以上，得 5分;达到5类及以上，得8分。</w:t>
            </w:r>
          </w:p>
        </w:tc>
        <w:tc>
          <w:tcPr>
            <w:tcW w:w="1284" w:type="pct"/>
            <w:vAlign w:val="center"/>
          </w:tcPr>
          <w:p w14:paraId="5C4FD882"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从源头把控，选用绿色、环保、安全的室内装饰装修材料是保障室内空气质量的基本手段。为提升家装消费品质量，满足人民日益增长的对健康生活的追求，有关部门于2017</w:t>
            </w:r>
            <w:r w:rsidRPr="00356770">
              <w:rPr>
                <w:rFonts w:asciiTheme="majorEastAsia" w:eastAsiaTheme="majorEastAsia" w:hAnsiTheme="majorEastAsia" w:cstheme="majorEastAsia" w:hint="eastAsia"/>
                <w:color w:val="0D0D0D" w:themeColor="text1" w:themeTint="F2"/>
                <w:szCs w:val="21"/>
              </w:rPr>
              <w:t>年</w:t>
            </w:r>
            <w:r w:rsidRPr="00356770">
              <w:rPr>
                <w:rFonts w:asciiTheme="majorEastAsia" w:eastAsiaTheme="majorEastAsia" w:hAnsiTheme="majorEastAsia" w:cstheme="majorEastAsia"/>
                <w:color w:val="0D0D0D" w:themeColor="text1" w:themeTint="F2"/>
                <w:szCs w:val="21"/>
              </w:rPr>
              <w:t xml:space="preserve">12日发布了包括内墙涂覆材料、木器漆、地坪涂料、 </w:t>
            </w:r>
          </w:p>
          <w:p w14:paraId="0A1E2E02" w14:textId="7E31DAA0"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壁纸、陶瓷砖、卫生陶瓷、人造板和木质地板、防水涂料、密封胶、家具等产品在内的绿色产品评价系列国家标准。</w:t>
            </w:r>
          </w:p>
        </w:tc>
        <w:tc>
          <w:tcPr>
            <w:tcW w:w="1074" w:type="pct"/>
            <w:vAlign w:val="center"/>
          </w:tcPr>
          <w:p w14:paraId="42D7BEE5" w14:textId="599D1F70"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查阅相关设计文件；评价查阅相关竣工图、工程决算材料清单、产品检验报告。</w:t>
            </w:r>
          </w:p>
        </w:tc>
        <w:tc>
          <w:tcPr>
            <w:tcW w:w="555" w:type="pct"/>
            <w:vAlign w:val="center"/>
          </w:tcPr>
          <w:p w14:paraId="69C32B8F" w14:textId="518E335F" w:rsidR="00E51FA6"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p>
        </w:tc>
      </w:tr>
      <w:tr w:rsidR="00356770" w:rsidRPr="00356770" w14:paraId="37E84B83" w14:textId="77777777" w:rsidTr="00E51FA6">
        <w:trPr>
          <w:trHeight w:val="299"/>
        </w:trPr>
        <w:tc>
          <w:tcPr>
            <w:tcW w:w="236" w:type="pct"/>
            <w:vMerge/>
            <w:vAlign w:val="center"/>
          </w:tcPr>
          <w:p w14:paraId="462CC223"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3E2091F4" w14:textId="67F8E56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3</w:t>
            </w:r>
          </w:p>
        </w:tc>
        <w:tc>
          <w:tcPr>
            <w:tcW w:w="1223" w:type="pct"/>
            <w:vAlign w:val="center"/>
          </w:tcPr>
          <w:p w14:paraId="5C76D947" w14:textId="77777777"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直饮水、集中生活热水、游泳池水、采暖空调系统用水.景观水体等的水质满足国家现行有关标准的要求，评价分值为</w:t>
            </w:r>
          </w:p>
          <w:p w14:paraId="028C244C" w14:textId="567A5BFF"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8分。</w:t>
            </w:r>
          </w:p>
        </w:tc>
        <w:tc>
          <w:tcPr>
            <w:tcW w:w="1284" w:type="pct"/>
            <w:vAlign w:val="center"/>
          </w:tcPr>
          <w:p w14:paraId="5B561981"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直饮水系统分为集中供水的管道直饮水系统和分散供水的终端直饮水处理设备。</w:t>
            </w:r>
          </w:p>
          <w:p w14:paraId="111D4069"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游泳池循环水处理系统水质应满足</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 xml:space="preserve">标准《游泳池水质标准》 CJ 244 的要求。 </w:t>
            </w:r>
          </w:p>
          <w:p w14:paraId="2A3CA7C1"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采暖空调循环水系统</w:t>
            </w:r>
            <w:r w:rsidRPr="00356770">
              <w:rPr>
                <w:rFonts w:asciiTheme="majorEastAsia" w:eastAsiaTheme="majorEastAsia" w:hAnsiTheme="majorEastAsia" w:cstheme="majorEastAsia"/>
                <w:color w:val="0D0D0D" w:themeColor="text1" w:themeTint="F2"/>
                <w:szCs w:val="21"/>
              </w:rPr>
              <w:lastRenderedPageBreak/>
              <w:t>水质应满足现行国家标准《采暖空调系统水质》 GB/T 29044 的要求。</w:t>
            </w:r>
          </w:p>
          <w:p w14:paraId="73FC6603"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国家标准《民用建筑节水设计标准》 GB 50555 - 2010 规定景观用水水源不得采用市政自来水和地下井水，可采用中水、雨水等非传统水源或地表水。</w:t>
            </w:r>
          </w:p>
          <w:p w14:paraId="5559253D" w14:textId="34E26532"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非传统水源供水系统水质，应根据不同用途的用水满足现行国家标准城市污水再生利用系列标准的要求。</w:t>
            </w:r>
          </w:p>
        </w:tc>
        <w:tc>
          <w:tcPr>
            <w:tcW w:w="1074" w:type="pct"/>
            <w:vAlign w:val="center"/>
          </w:tcPr>
          <w:p w14:paraId="57F686C1" w14:textId="6C50FC6A"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查阅相关设计文件、市政供水的水质检测报告（采用市政再生水时，可使用同一水源邻近项目一年以内的水质检测报告）；评价查阅相关竣工图、设计说</w:t>
            </w:r>
            <w:r w:rsidRPr="00356770">
              <w:rPr>
                <w:rFonts w:asciiTheme="majorEastAsia" w:eastAsiaTheme="majorEastAsia" w:hAnsiTheme="majorEastAsia" w:cstheme="majorEastAsia"/>
                <w:color w:val="0D0D0D" w:themeColor="text1" w:themeTint="F2"/>
                <w:szCs w:val="21"/>
              </w:rPr>
              <w:lastRenderedPageBreak/>
              <w:t>明、各类用水的水质检测报告。</w:t>
            </w:r>
          </w:p>
        </w:tc>
        <w:tc>
          <w:tcPr>
            <w:tcW w:w="555" w:type="pct"/>
            <w:vAlign w:val="center"/>
          </w:tcPr>
          <w:p w14:paraId="279C72AE" w14:textId="79F052C2"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8</w:t>
            </w:r>
          </w:p>
        </w:tc>
      </w:tr>
      <w:tr w:rsidR="00356770" w:rsidRPr="00356770" w14:paraId="52B8D5BB" w14:textId="77777777" w:rsidTr="00E51FA6">
        <w:trPr>
          <w:trHeight w:val="299"/>
        </w:trPr>
        <w:tc>
          <w:tcPr>
            <w:tcW w:w="236" w:type="pct"/>
            <w:vMerge/>
            <w:vAlign w:val="center"/>
          </w:tcPr>
          <w:p w14:paraId="229246C1"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60B12411" w14:textId="44FAA060"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4</w:t>
            </w:r>
          </w:p>
        </w:tc>
        <w:tc>
          <w:tcPr>
            <w:tcW w:w="1223" w:type="pct"/>
            <w:vAlign w:val="center"/>
          </w:tcPr>
          <w:p w14:paraId="3B198D5C"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生活饮用水水池、水等储水设施采取措施满足卫生要求，</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9分，并按下列规则分别评分并累计。1． 使用符合国家现行有关标准要求的成品水箱，得4分。</w:t>
            </w:r>
          </w:p>
          <w:p w14:paraId="06C184BC" w14:textId="5E50E075"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2，采取保证储水</w:t>
            </w:r>
            <w:proofErr w:type="gramStart"/>
            <w:r w:rsidRPr="00356770">
              <w:rPr>
                <w:rFonts w:asciiTheme="majorEastAsia" w:eastAsiaTheme="majorEastAsia" w:hAnsiTheme="majorEastAsia" w:cstheme="majorEastAsia" w:hint="eastAsia"/>
                <w:color w:val="0D0D0D" w:themeColor="text1" w:themeTint="F2"/>
                <w:szCs w:val="21"/>
              </w:rPr>
              <w:t>不</w:t>
            </w:r>
            <w:proofErr w:type="gramEnd"/>
            <w:r w:rsidRPr="00356770">
              <w:rPr>
                <w:rFonts w:asciiTheme="majorEastAsia" w:eastAsiaTheme="majorEastAsia" w:hAnsiTheme="majorEastAsia" w:cstheme="majorEastAsia" w:hint="eastAsia"/>
                <w:color w:val="0D0D0D" w:themeColor="text1" w:themeTint="F2"/>
                <w:szCs w:val="21"/>
              </w:rPr>
              <w:t>变质的措施，得5分</w:t>
            </w:r>
          </w:p>
        </w:tc>
        <w:tc>
          <w:tcPr>
            <w:tcW w:w="1284" w:type="pct"/>
            <w:vAlign w:val="center"/>
          </w:tcPr>
          <w:p w14:paraId="108F4E60"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现行国家标准《二次供水设施卫生规范》 GB17051 和</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标准《二次供水工程技术规程》 CJJ 140 规定 了建筑二次供水设施的卫生要求和水质检测方法。</w:t>
            </w:r>
          </w:p>
          <w:p w14:paraId="490DCAA2" w14:textId="64BE6D2C"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常用的避免储水变质的主要技术措施包括：储水设施分格、保证设施内水流通畅、检查口（人孔）加锁、溢流管及通气管口采取防止生物进入的措施等。</w:t>
            </w:r>
          </w:p>
        </w:tc>
        <w:tc>
          <w:tcPr>
            <w:tcW w:w="1074" w:type="pct"/>
            <w:vAlign w:val="center"/>
          </w:tcPr>
          <w:p w14:paraId="31237461" w14:textId="786F28F1"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w:t>
            </w:r>
            <w:proofErr w:type="gramStart"/>
            <w:r w:rsidRPr="00356770">
              <w:rPr>
                <w:rFonts w:asciiTheme="majorEastAsia" w:eastAsiaTheme="majorEastAsia" w:hAnsiTheme="majorEastAsia" w:cstheme="majorEastAsia"/>
                <w:color w:val="0D0D0D" w:themeColor="text1" w:themeTint="F2"/>
                <w:szCs w:val="21"/>
              </w:rPr>
              <w:t>含设计</w:t>
            </w:r>
            <w:proofErr w:type="gramEnd"/>
            <w:r w:rsidRPr="00356770">
              <w:rPr>
                <w:rFonts w:asciiTheme="majorEastAsia" w:eastAsiaTheme="majorEastAsia" w:hAnsiTheme="majorEastAsia" w:cstheme="majorEastAsia"/>
                <w:color w:val="0D0D0D" w:themeColor="text1" w:themeTint="F2"/>
                <w:szCs w:val="21"/>
              </w:rPr>
              <w:t>说明、储水设施详图、设备材料表）；评价查阅相关竣工图（</w:t>
            </w:r>
            <w:proofErr w:type="gramStart"/>
            <w:r w:rsidRPr="00356770">
              <w:rPr>
                <w:rFonts w:asciiTheme="majorEastAsia" w:eastAsiaTheme="majorEastAsia" w:hAnsiTheme="majorEastAsia" w:cstheme="majorEastAsia"/>
                <w:color w:val="0D0D0D" w:themeColor="text1" w:themeTint="F2"/>
                <w:szCs w:val="21"/>
              </w:rPr>
              <w:t>含设计</w:t>
            </w:r>
            <w:proofErr w:type="gramEnd"/>
            <w:r w:rsidRPr="00356770">
              <w:rPr>
                <w:rFonts w:asciiTheme="majorEastAsia" w:eastAsiaTheme="majorEastAsia" w:hAnsiTheme="majorEastAsia" w:cstheme="majorEastAsia"/>
                <w:color w:val="0D0D0D" w:themeColor="text1" w:themeTint="F2"/>
                <w:szCs w:val="21"/>
              </w:rPr>
              <w:t>说明、储水设施详图、设备材料表）、设备材料采购清单或进场记录、水质检测报告。</w:t>
            </w:r>
          </w:p>
        </w:tc>
        <w:tc>
          <w:tcPr>
            <w:tcW w:w="555" w:type="pct"/>
            <w:vAlign w:val="center"/>
          </w:tcPr>
          <w:p w14:paraId="38348AAD" w14:textId="5B829E55"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p>
        </w:tc>
      </w:tr>
      <w:tr w:rsidR="00356770" w:rsidRPr="00356770" w14:paraId="7859A864" w14:textId="77777777" w:rsidTr="00E51FA6">
        <w:trPr>
          <w:trHeight w:val="299"/>
        </w:trPr>
        <w:tc>
          <w:tcPr>
            <w:tcW w:w="236" w:type="pct"/>
            <w:vMerge/>
            <w:vAlign w:val="center"/>
          </w:tcPr>
          <w:p w14:paraId="0C6E8E2C"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850EA28" w14:textId="0F55903C"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5</w:t>
            </w:r>
          </w:p>
        </w:tc>
        <w:tc>
          <w:tcPr>
            <w:tcW w:w="1223" w:type="pct"/>
            <w:vAlign w:val="center"/>
          </w:tcPr>
          <w:p w14:paraId="2333AE8A" w14:textId="03571F96"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所有给水排水管道、设备、设施设置明确、清晰的永久性标识，评价分值为 8 分。</w:t>
            </w:r>
          </w:p>
        </w:tc>
        <w:tc>
          <w:tcPr>
            <w:tcW w:w="1284" w:type="pct"/>
            <w:vAlign w:val="center"/>
          </w:tcPr>
          <w:p w14:paraId="3D011B97"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现代化的建筑给水排水管线繁多，如果没有清晰的标识，难免在施工或日常维护、维修时发生误接的情况，造成误饮误用，给用户带来健康隐患。 </w:t>
            </w:r>
          </w:p>
          <w:p w14:paraId="6E8C3B3B"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目前建筑行业有关部门仅对管道标记的颜色进行了规定，尚未制定统一的民用建筑管道标识标准图集。建筑内给排水管道及设备</w:t>
            </w:r>
            <w:r w:rsidRPr="00356770">
              <w:rPr>
                <w:rFonts w:asciiTheme="majorEastAsia" w:eastAsiaTheme="majorEastAsia" w:hAnsiTheme="majorEastAsia" w:cstheme="majorEastAsia"/>
                <w:color w:val="0D0D0D" w:themeColor="text1" w:themeTint="F2"/>
                <w:szCs w:val="21"/>
              </w:rPr>
              <w:lastRenderedPageBreak/>
              <w:t>的标识设置可参考现行国家标准</w:t>
            </w:r>
            <w:proofErr w:type="gramStart"/>
            <w:r w:rsidRPr="00356770">
              <w:rPr>
                <w:rFonts w:asciiTheme="majorEastAsia" w:eastAsiaTheme="majorEastAsia" w:hAnsiTheme="majorEastAsia" w:cstheme="majorEastAsia"/>
                <w:color w:val="0D0D0D" w:themeColor="text1" w:themeTint="F2"/>
                <w:szCs w:val="21"/>
              </w:rPr>
              <w:t>《</w:t>
            </w:r>
            <w:proofErr w:type="gramEnd"/>
            <w:r w:rsidRPr="00356770">
              <w:rPr>
                <w:rFonts w:asciiTheme="majorEastAsia" w:eastAsiaTheme="majorEastAsia" w:hAnsiTheme="majorEastAsia" w:cstheme="majorEastAsia"/>
                <w:color w:val="0D0D0D" w:themeColor="text1" w:themeTint="F2"/>
                <w:szCs w:val="21"/>
              </w:rPr>
              <w:t xml:space="preserve">工业管道的基本识别色、 </w:t>
            </w:r>
          </w:p>
          <w:p w14:paraId="10BBABD8" w14:textId="14C93C4C"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识别符号和安全标识</w:t>
            </w:r>
            <w:proofErr w:type="gramStart"/>
            <w:r w:rsidRPr="00356770">
              <w:rPr>
                <w:rFonts w:asciiTheme="majorEastAsia" w:eastAsiaTheme="majorEastAsia" w:hAnsiTheme="majorEastAsia" w:cstheme="majorEastAsia"/>
                <w:color w:val="0D0D0D" w:themeColor="text1" w:themeTint="F2"/>
                <w:szCs w:val="21"/>
              </w:rPr>
              <w:t>》</w:t>
            </w:r>
            <w:proofErr w:type="gramEnd"/>
            <w:r w:rsidRPr="00356770">
              <w:rPr>
                <w:rFonts w:asciiTheme="majorEastAsia" w:eastAsiaTheme="majorEastAsia" w:hAnsiTheme="majorEastAsia" w:cstheme="majorEastAsia"/>
                <w:color w:val="0D0D0D" w:themeColor="text1" w:themeTint="F2"/>
                <w:szCs w:val="21"/>
              </w:rPr>
              <w:t xml:space="preserve"> GB 7231 、《建筑给水排水及采暖工程施工质量验收规范》 GB 50242 中的相关规定。</w:t>
            </w:r>
          </w:p>
        </w:tc>
        <w:tc>
          <w:tcPr>
            <w:tcW w:w="1074" w:type="pct"/>
            <w:vAlign w:val="center"/>
          </w:tcPr>
          <w:p w14:paraId="0ABC2A6E" w14:textId="071AFED0"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查阅相关设计文件、标识设置说明；评价查阅相关竣工图、标识设置说明。</w:t>
            </w:r>
          </w:p>
        </w:tc>
        <w:tc>
          <w:tcPr>
            <w:tcW w:w="555" w:type="pct"/>
            <w:vAlign w:val="center"/>
          </w:tcPr>
          <w:p w14:paraId="6FB470D6" w14:textId="31AE24D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8</w:t>
            </w:r>
          </w:p>
        </w:tc>
      </w:tr>
      <w:tr w:rsidR="00356770" w:rsidRPr="00356770" w14:paraId="2F8B09DD" w14:textId="77777777" w:rsidTr="00E51FA6">
        <w:trPr>
          <w:trHeight w:val="299"/>
        </w:trPr>
        <w:tc>
          <w:tcPr>
            <w:tcW w:w="236" w:type="pct"/>
            <w:vMerge/>
            <w:vAlign w:val="center"/>
          </w:tcPr>
          <w:p w14:paraId="5791A261"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90F54D5" w14:textId="709AC7F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6</w:t>
            </w:r>
          </w:p>
        </w:tc>
        <w:tc>
          <w:tcPr>
            <w:tcW w:w="1223" w:type="pct"/>
            <w:vAlign w:val="center"/>
          </w:tcPr>
          <w:p w14:paraId="2C3630F1" w14:textId="276E723B"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采取措施优化主要功能房间的</w:t>
            </w:r>
            <w:proofErr w:type="gramStart"/>
            <w:r w:rsidRPr="00356770">
              <w:rPr>
                <w:rFonts w:asciiTheme="majorEastAsia" w:eastAsiaTheme="majorEastAsia" w:hAnsiTheme="majorEastAsia" w:cstheme="majorEastAsia" w:hint="eastAsia"/>
                <w:color w:val="0D0D0D" w:themeColor="text1" w:themeTint="F2"/>
                <w:szCs w:val="21"/>
              </w:rPr>
              <w:t>室内声</w:t>
            </w:r>
            <w:proofErr w:type="gramEnd"/>
            <w:r w:rsidRPr="00356770">
              <w:rPr>
                <w:rFonts w:asciiTheme="majorEastAsia" w:eastAsiaTheme="majorEastAsia" w:hAnsiTheme="majorEastAsia" w:cstheme="majorEastAsia" w:hint="eastAsia"/>
                <w:color w:val="0D0D0D" w:themeColor="text1" w:themeTint="F2"/>
                <w:szCs w:val="21"/>
              </w:rPr>
              <w:t>环境，</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为8分。噪声级达到现行国家标准《民用建筑隔声设计规范》GB 50118中的低限标准限值和高要求标准限值的平均值，得4分;达到高要求标准限值，得 8 分。</w:t>
            </w:r>
          </w:p>
        </w:tc>
        <w:tc>
          <w:tcPr>
            <w:tcW w:w="1284" w:type="pct"/>
          </w:tcPr>
          <w:p w14:paraId="00C722B2"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本标准要求采取减少噪声干扰的措施进一步优化主要功能房间的</w:t>
            </w:r>
            <w:proofErr w:type="gramStart"/>
            <w:r w:rsidRPr="00356770">
              <w:rPr>
                <w:rFonts w:asciiTheme="majorEastAsia" w:eastAsiaTheme="majorEastAsia" w:hAnsiTheme="majorEastAsia" w:cstheme="majorEastAsia"/>
                <w:color w:val="0D0D0D" w:themeColor="text1" w:themeTint="F2"/>
                <w:szCs w:val="21"/>
              </w:rPr>
              <w:t>室内声</w:t>
            </w:r>
            <w:proofErr w:type="gramEnd"/>
            <w:r w:rsidRPr="00356770">
              <w:rPr>
                <w:rFonts w:asciiTheme="majorEastAsia" w:eastAsiaTheme="majorEastAsia" w:hAnsiTheme="majorEastAsia" w:cstheme="majorEastAsia"/>
                <w:color w:val="0D0D0D" w:themeColor="text1" w:themeTint="F2"/>
                <w:szCs w:val="21"/>
              </w:rPr>
              <w:t>环境，包括优化建筑平面、空间布局，没有明显的噪声干扰；设备层、机房采取合理的隔振和降噪措施；采用同层排水或其他降低排水噪声的有效措施等。</w:t>
            </w:r>
          </w:p>
          <w:p w14:paraId="360064EB" w14:textId="728AC60D"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国家标准《民用建筑隔声设计规范》 GB 50118 - 2010 将住宅、办公、商业、医院等建筑主要功能房间的室内允许噪声级分“低限标准”和“高要求标准”两档列出。对于现行国家标准 《民用建筑隔声设计规范》 GB 50118 中包含的一些只有唯一室内噪声级要求的建筑（如学校），本条认定该室内噪声级对应数值为低限标准，而高要求标准则在此基础上降低 5dB。</w:t>
            </w:r>
          </w:p>
        </w:tc>
        <w:tc>
          <w:tcPr>
            <w:tcW w:w="1074" w:type="pct"/>
            <w:vAlign w:val="center"/>
          </w:tcPr>
          <w:p w14:paraId="482C5D44" w14:textId="50DCD430"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查阅相关设计文件、噪声分析报告；评价查阅相关竣工图、室内噪声检测报告。</w:t>
            </w:r>
          </w:p>
        </w:tc>
        <w:tc>
          <w:tcPr>
            <w:tcW w:w="555" w:type="pct"/>
            <w:vAlign w:val="center"/>
          </w:tcPr>
          <w:p w14:paraId="6902E7FF" w14:textId="42C5175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8</w:t>
            </w:r>
          </w:p>
        </w:tc>
      </w:tr>
      <w:tr w:rsidR="00356770" w:rsidRPr="00356770" w14:paraId="4923F761" w14:textId="77777777" w:rsidTr="00E51FA6">
        <w:trPr>
          <w:trHeight w:val="299"/>
        </w:trPr>
        <w:tc>
          <w:tcPr>
            <w:tcW w:w="236" w:type="pct"/>
            <w:vMerge/>
            <w:vAlign w:val="center"/>
          </w:tcPr>
          <w:p w14:paraId="36B8E564"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6E45091D" w14:textId="1DB1BB46"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7</w:t>
            </w:r>
          </w:p>
        </w:tc>
        <w:tc>
          <w:tcPr>
            <w:tcW w:w="1223" w:type="pct"/>
            <w:vAlign w:val="center"/>
          </w:tcPr>
          <w:p w14:paraId="6B536AE2"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主要功能房间的隔声性能良好，</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10 分，并按下列规则分别评分并累计。1．构件及相邻房间之间的空气声隔声性能达到现行国家标准《民用建筑隔声</w:t>
            </w:r>
            <w:r w:rsidRPr="00356770">
              <w:rPr>
                <w:rFonts w:asciiTheme="majorEastAsia" w:eastAsiaTheme="majorEastAsia" w:hAnsiTheme="majorEastAsia" w:cstheme="majorEastAsia" w:hint="eastAsia"/>
                <w:color w:val="0D0D0D" w:themeColor="text1" w:themeTint="F2"/>
                <w:szCs w:val="21"/>
              </w:rPr>
              <w:lastRenderedPageBreak/>
              <w:t>设计规范》GB 50118 中的低限标准限值和高要求标准限值的平均值，得3分;达到高要求标准限值，得5分</w:t>
            </w:r>
          </w:p>
          <w:p w14:paraId="697B8AEE" w14:textId="75CB1BF7"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2．楼板的撞击声隔声性能达到现行国家标准《民用建筑隔声设计规范》GB50118中的低限标准限值和高要求标准限值的平均值，得3分;达到高要求标准限值，得5分。</w:t>
            </w:r>
          </w:p>
        </w:tc>
        <w:tc>
          <w:tcPr>
            <w:tcW w:w="1284" w:type="pct"/>
            <w:vAlign w:val="center"/>
          </w:tcPr>
          <w:p w14:paraId="1E1E5A80"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 xml:space="preserve">国家标准《民用建筑隔声设计规范》 GB 50118 - 2010 将住宅、办公、商业、旅馆、 </w:t>
            </w:r>
          </w:p>
          <w:p w14:paraId="0D82A2D1"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医院等类型建筑的墙体、门窗、楼板的空气声隔声性能以及楼板的撞击声隔声性能分</w:t>
            </w:r>
            <w:r w:rsidRPr="00356770">
              <w:rPr>
                <w:rFonts w:asciiTheme="majorEastAsia" w:eastAsiaTheme="majorEastAsia" w:hAnsiTheme="majorEastAsia" w:cstheme="majorEastAsia"/>
                <w:color w:val="0D0D0D" w:themeColor="text1" w:themeTint="F2"/>
                <w:szCs w:val="21"/>
              </w:rPr>
              <w:lastRenderedPageBreak/>
              <w:t xml:space="preserve">为“低限标准”和“高要求标准”两档列出。 </w:t>
            </w:r>
          </w:p>
          <w:p w14:paraId="67ACD5E2"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款，对千现行国家标准《民用建筑隔声设计规范》 GB50118 中只规定了构件的单一空气隔声性能的建筑，本条认定该构件对应的空气隔声性能数值为低限标准限值，而高要求标准限值则在此基础上提高 5dB </w:t>
            </w:r>
          </w:p>
          <w:p w14:paraId="438DADCB" w14:textId="6C963483"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款，对于现行国家标准《民用建筑隔声设计规范》 GB50118 中只有单一楼板撞击声隔声性能的建筑类型，本条认定对应的楼板撞击声隔声性能数值为低限标准限值，高要求标准限值在低限标准限值降低</w:t>
            </w:r>
            <w:proofErr w:type="spellStart"/>
            <w:r w:rsidRPr="00356770">
              <w:rPr>
                <w:rFonts w:asciiTheme="majorEastAsia" w:eastAsiaTheme="majorEastAsia" w:hAnsiTheme="majorEastAsia" w:cstheme="majorEastAsia"/>
                <w:color w:val="0D0D0D" w:themeColor="text1" w:themeTint="F2"/>
                <w:szCs w:val="21"/>
              </w:rPr>
              <w:t>lOdB</w:t>
            </w:r>
            <w:proofErr w:type="spellEnd"/>
            <w:r w:rsidRPr="00356770">
              <w:rPr>
                <w:rFonts w:asciiTheme="majorEastAsia" w:eastAsiaTheme="majorEastAsia" w:hAnsiTheme="majorEastAsia" w:cstheme="majorEastAsia" w:hint="eastAsia"/>
                <w:color w:val="0D0D0D" w:themeColor="text1" w:themeTint="F2"/>
                <w:szCs w:val="21"/>
              </w:rPr>
              <w:t>。</w:t>
            </w:r>
          </w:p>
        </w:tc>
        <w:tc>
          <w:tcPr>
            <w:tcW w:w="1074" w:type="pct"/>
            <w:vAlign w:val="center"/>
          </w:tcPr>
          <w:p w14:paraId="2D511CB7" w14:textId="596977A1"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查阅相关设计文件、构件隔声性能的实验室检验报告；评价查阅相关竣工图、构件隔声性能的实验室检验报告。</w:t>
            </w:r>
          </w:p>
        </w:tc>
        <w:tc>
          <w:tcPr>
            <w:tcW w:w="555" w:type="pct"/>
            <w:vAlign w:val="center"/>
          </w:tcPr>
          <w:p w14:paraId="1BC75566" w14:textId="3E1F4703"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+3</w:t>
            </w:r>
          </w:p>
        </w:tc>
      </w:tr>
      <w:tr w:rsidR="00356770" w:rsidRPr="00356770" w14:paraId="4842E286" w14:textId="77777777" w:rsidTr="00E51FA6">
        <w:trPr>
          <w:trHeight w:val="299"/>
        </w:trPr>
        <w:tc>
          <w:tcPr>
            <w:tcW w:w="236" w:type="pct"/>
            <w:vMerge/>
            <w:vAlign w:val="center"/>
          </w:tcPr>
          <w:p w14:paraId="0240FC2F"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12174529" w14:textId="01B668FA"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8</w:t>
            </w:r>
          </w:p>
        </w:tc>
        <w:tc>
          <w:tcPr>
            <w:tcW w:w="1223" w:type="pct"/>
            <w:vAlign w:val="center"/>
          </w:tcPr>
          <w:p w14:paraId="58F869E8"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充分利用光，</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12分，并按下列则分别评分并累计。1． 住宅建筑室内主要功能空间至少 60%面积比例区域，其采光照度值不低于 300lx 的小时数平均不少于 8h/d，得9分。</w:t>
            </w:r>
          </w:p>
          <w:p w14:paraId="4D03C119"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w:t>
            </w:r>
            <w:r w:rsidRPr="00356770">
              <w:rPr>
                <w:rFonts w:hint="eastAsia"/>
                <w:color w:val="0D0D0D" w:themeColor="text1" w:themeTint="F2"/>
              </w:rPr>
              <w:t xml:space="preserve"> </w:t>
            </w:r>
            <w:r w:rsidRPr="00356770">
              <w:rPr>
                <w:rFonts w:asciiTheme="majorEastAsia" w:eastAsiaTheme="majorEastAsia" w:hAnsiTheme="majorEastAsia" w:cstheme="majorEastAsia" w:hint="eastAsia"/>
                <w:color w:val="0D0D0D" w:themeColor="text1" w:themeTint="F2"/>
                <w:szCs w:val="21"/>
              </w:rPr>
              <w:t>公共建筑按下列规则分别评分并累计:1)内区采光系数满足采光要求的面积比例达到 60%，得3分;</w:t>
            </w:r>
          </w:p>
          <w:p w14:paraId="2413C86E"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2)地下空间平均采光系数不小于 0.5%的面积与地下室首层面积的比例达到 10%以上，得 3分;</w:t>
            </w:r>
          </w:p>
          <w:p w14:paraId="25FCF077"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3）室内主要功能空</w:t>
            </w:r>
            <w:r w:rsidRPr="00356770">
              <w:rPr>
                <w:rFonts w:asciiTheme="majorEastAsia" w:eastAsiaTheme="majorEastAsia" w:hAnsiTheme="majorEastAsia" w:cstheme="majorEastAsia" w:hint="eastAsia"/>
                <w:color w:val="0D0D0D" w:themeColor="text1" w:themeTint="F2"/>
                <w:szCs w:val="21"/>
              </w:rPr>
              <w:lastRenderedPageBreak/>
              <w:t>间至少 60%面积比例区域的采光照度值不低于采光要求的小时数平均不少于 4h/d，得</w:t>
            </w:r>
          </w:p>
          <w:p w14:paraId="73A1CA29"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3分</w:t>
            </w:r>
          </w:p>
          <w:p w14:paraId="21C4DE36" w14:textId="20D58B4C"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主要功能房间有眩光控制措施，得 3 分</w:t>
            </w:r>
          </w:p>
        </w:tc>
        <w:tc>
          <w:tcPr>
            <w:tcW w:w="1284" w:type="pct"/>
            <w:vAlign w:val="center"/>
          </w:tcPr>
          <w:p w14:paraId="50F40AAA"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天然采光不仅有利于照明节能，而且有利</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增加室内外的自然信息交流，改善空间卫生环境，调节空间使用者的心情。对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 xml:space="preserve">大进深、 </w:t>
            </w:r>
          </w:p>
          <w:p w14:paraId="3D4A0E06"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地下空间宜优先通过合理的建筑设计（如半地下室、天窗等方式）改善天然采光条件，且尽可能地避免出现无窗空间。对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无法避免的情况，鼓励通过导光管、棱镜玻璃等合理措施充分利用 天然光，促进人们的舒适健康</w:t>
            </w:r>
            <w:r w:rsidRPr="00356770">
              <w:rPr>
                <w:rFonts w:asciiTheme="majorEastAsia" w:eastAsiaTheme="majorEastAsia" w:hAnsiTheme="majorEastAsia" w:cstheme="majorEastAsia" w:hint="eastAsia"/>
                <w:color w:val="0D0D0D" w:themeColor="text1" w:themeTint="F2"/>
                <w:szCs w:val="21"/>
              </w:rPr>
              <w:t>。</w:t>
            </w:r>
          </w:p>
          <w:p w14:paraId="5D08D618"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第1款和第2款</w:t>
            </w:r>
            <w:r w:rsidRPr="00356770">
              <w:rPr>
                <w:rFonts w:asciiTheme="majorEastAsia" w:eastAsiaTheme="majorEastAsia" w:hAnsiTheme="majorEastAsia" w:cstheme="majorEastAsia"/>
                <w:color w:val="0D0D0D" w:themeColor="text1" w:themeTint="F2"/>
                <w:szCs w:val="21"/>
              </w:rPr>
              <w:t>针对住宅建筑和公共建筑分别提出评价要求。为了更加真实地反映天然光利用的效果，</w:t>
            </w:r>
            <w:proofErr w:type="gramStart"/>
            <w:r w:rsidRPr="00356770">
              <w:rPr>
                <w:rFonts w:asciiTheme="majorEastAsia" w:eastAsiaTheme="majorEastAsia" w:hAnsiTheme="majorEastAsia" w:cstheme="majorEastAsia"/>
                <w:color w:val="0D0D0D" w:themeColor="text1" w:themeTint="F2"/>
                <w:szCs w:val="21"/>
              </w:rPr>
              <w:t>采用基千天然光</w:t>
            </w:r>
            <w:proofErr w:type="gramEnd"/>
            <w:r w:rsidRPr="00356770">
              <w:rPr>
                <w:rFonts w:asciiTheme="majorEastAsia" w:eastAsiaTheme="majorEastAsia" w:hAnsiTheme="majorEastAsia" w:cstheme="majorEastAsia"/>
                <w:color w:val="0D0D0D" w:themeColor="text1" w:themeTint="F2"/>
                <w:szCs w:val="21"/>
              </w:rPr>
              <w:t>气候数据的</w:t>
            </w:r>
            <w:r w:rsidRPr="00356770">
              <w:rPr>
                <w:rFonts w:asciiTheme="majorEastAsia" w:eastAsiaTheme="majorEastAsia" w:hAnsiTheme="majorEastAsia" w:cstheme="majorEastAsia"/>
                <w:color w:val="0D0D0D" w:themeColor="text1" w:themeTint="F2"/>
                <w:szCs w:val="21"/>
              </w:rPr>
              <w:lastRenderedPageBreak/>
              <w:t>建筑采光全年动态分析的方法对其进行评价。建筑及采光设计时，可通过软件对建筑的动态采光效果进行计算分析，根据计算结构合理进行采光系统设计。</w:t>
            </w:r>
          </w:p>
          <w:p w14:paraId="188D7D75" w14:textId="370A2F5C"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第3款，</w:t>
            </w:r>
            <w:r w:rsidRPr="00356770">
              <w:rPr>
                <w:rFonts w:asciiTheme="majorEastAsia" w:eastAsiaTheme="majorEastAsia" w:hAnsiTheme="majorEastAsia" w:cstheme="majorEastAsia"/>
                <w:color w:val="0D0D0D" w:themeColor="text1" w:themeTint="F2"/>
                <w:szCs w:val="21"/>
              </w:rPr>
              <w:t>过度阳光进入室内会造成强烈的明暗对比，影响室内人员的视觉舒适度。因此在充分利用天然光资源的同时，还应采取必要的措施控制不舒适眩光，如作业区域减少或避免阳光直射、采用室内外遮挡设施等，并应符合现行国家标准《建筑采光设计标准》 GB 50033 中控制不舒适眩光的相关规定。</w:t>
            </w:r>
          </w:p>
        </w:tc>
        <w:tc>
          <w:tcPr>
            <w:tcW w:w="1074" w:type="pct"/>
            <w:vAlign w:val="center"/>
          </w:tcPr>
          <w:p w14:paraId="0712C20E" w14:textId="1CC7B1B1"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查阅相关设计文件、计算书；评价查阅相关竣工图、计算书、采光检测报告。</w:t>
            </w:r>
          </w:p>
        </w:tc>
        <w:tc>
          <w:tcPr>
            <w:tcW w:w="555" w:type="pct"/>
            <w:vAlign w:val="center"/>
          </w:tcPr>
          <w:p w14:paraId="75AB50AD" w14:textId="16A03733" w:rsidR="00E51FA6" w:rsidRPr="00356770" w:rsidRDefault="00DF1AFE"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w:t>
            </w:r>
            <w:r w:rsidR="00E51FA6"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0</w:t>
            </w:r>
          </w:p>
        </w:tc>
      </w:tr>
      <w:tr w:rsidR="00356770" w:rsidRPr="00356770" w14:paraId="0B7FB0B9" w14:textId="77777777" w:rsidTr="00E51FA6">
        <w:trPr>
          <w:trHeight w:val="299"/>
        </w:trPr>
        <w:tc>
          <w:tcPr>
            <w:tcW w:w="236" w:type="pct"/>
            <w:vMerge/>
            <w:vAlign w:val="center"/>
          </w:tcPr>
          <w:p w14:paraId="3E6D93D9"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CCDCA18" w14:textId="4108867F"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10</w:t>
            </w:r>
          </w:p>
        </w:tc>
        <w:tc>
          <w:tcPr>
            <w:tcW w:w="1223" w:type="pct"/>
            <w:vAlign w:val="center"/>
          </w:tcPr>
          <w:p w14:paraId="572ABFE4"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具有良好的室内热湿环境，</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8 分，并按下列规则评分。1．采用自然通风或复合通风的建筑，建筑主要功能房间室内热环境参数在适应性热舒适区域的时间比例，达到 30%，得2分;</w:t>
            </w:r>
            <w:proofErr w:type="gramStart"/>
            <w:r w:rsidRPr="00356770">
              <w:rPr>
                <w:rFonts w:asciiTheme="majorEastAsia" w:eastAsiaTheme="majorEastAsia" w:hAnsiTheme="majorEastAsia" w:cstheme="majorEastAsia" w:hint="eastAsia"/>
                <w:color w:val="0D0D0D" w:themeColor="text1" w:themeTint="F2"/>
                <w:szCs w:val="21"/>
              </w:rPr>
              <w:t>每再增加</w:t>
            </w:r>
            <w:proofErr w:type="gramEnd"/>
            <w:r w:rsidRPr="00356770">
              <w:rPr>
                <w:rFonts w:asciiTheme="majorEastAsia" w:eastAsiaTheme="majorEastAsia" w:hAnsiTheme="majorEastAsia" w:cstheme="majorEastAsia" w:hint="eastAsia"/>
                <w:color w:val="0D0D0D" w:themeColor="text1" w:themeTint="F2"/>
                <w:szCs w:val="21"/>
              </w:rPr>
              <w:t xml:space="preserve"> 10%，再得1分，最高得8分。</w:t>
            </w:r>
          </w:p>
          <w:p w14:paraId="4DCEC187" w14:textId="1E107E00"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2．采用人工冷热源的建筑，主要功能房间达到现行国家标准《民用建筑室内热湿环境评价标准》GB/T 50785 规定的室内人工冷热源热湿环境整体评价I级的面积比例，达到 60%，得5分;</w:t>
            </w:r>
            <w:proofErr w:type="gramStart"/>
            <w:r w:rsidRPr="00356770">
              <w:rPr>
                <w:rFonts w:asciiTheme="majorEastAsia" w:eastAsiaTheme="majorEastAsia" w:hAnsiTheme="majorEastAsia" w:cstheme="majorEastAsia" w:hint="eastAsia"/>
                <w:color w:val="0D0D0D" w:themeColor="text1" w:themeTint="F2"/>
                <w:szCs w:val="21"/>
              </w:rPr>
              <w:t>每再增加</w:t>
            </w:r>
            <w:proofErr w:type="gramEnd"/>
            <w:r w:rsidRPr="00356770">
              <w:rPr>
                <w:rFonts w:asciiTheme="majorEastAsia" w:eastAsiaTheme="majorEastAsia" w:hAnsiTheme="majorEastAsia" w:cstheme="majorEastAsia" w:hint="eastAsia"/>
                <w:color w:val="0D0D0D" w:themeColor="text1" w:themeTint="F2"/>
                <w:szCs w:val="21"/>
              </w:rPr>
              <w:t xml:space="preserve"> 10%，再得1分，</w:t>
            </w:r>
            <w:r w:rsidRPr="00356770">
              <w:rPr>
                <w:rFonts w:asciiTheme="majorEastAsia" w:eastAsiaTheme="majorEastAsia" w:hAnsiTheme="majorEastAsia" w:cstheme="majorEastAsia" w:hint="eastAsia"/>
                <w:color w:val="0D0D0D" w:themeColor="text1" w:themeTint="F2"/>
                <w:szCs w:val="21"/>
              </w:rPr>
              <w:lastRenderedPageBreak/>
              <w:t>最高得 8分</w:t>
            </w:r>
          </w:p>
        </w:tc>
        <w:tc>
          <w:tcPr>
            <w:tcW w:w="1284" w:type="pct"/>
            <w:vAlign w:val="center"/>
          </w:tcPr>
          <w:p w14:paraId="6467E326"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第1款，</w:t>
            </w:r>
            <w:r w:rsidRPr="00356770">
              <w:rPr>
                <w:rFonts w:asciiTheme="majorEastAsia" w:eastAsiaTheme="majorEastAsia" w:hAnsiTheme="majorEastAsia" w:cstheme="majorEastAsia"/>
                <w:color w:val="0D0D0D" w:themeColor="text1" w:themeTint="F2"/>
                <w:szCs w:val="21"/>
              </w:rPr>
              <w:t>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采用自然通风或复合通风的建筑，本条款以建筑物内主要功能房间或区域为对象，以全年建筑运行时间为评价时间范围，按主要功能房间或区域的面积加权计算满足适应性热舒适区间的时间百分比进行评分。</w:t>
            </w:r>
          </w:p>
          <w:p w14:paraId="0FE32479" w14:textId="0082068B"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款，人工冷热源热湿环境整体评价指标应包括预计平均热感觉指标 (PMV) 和预计不满意者的百分数 CPPD), PMV-PPD 的计算程序应按国家标准《民用建筑室内热湿环境评价标准》 GB/T 50785 - 2012 附录 的规定执行。本款以建筑物内主要功能房</w:t>
            </w:r>
            <w:r w:rsidRPr="00356770">
              <w:rPr>
                <w:rFonts w:asciiTheme="majorEastAsia" w:eastAsiaTheme="majorEastAsia" w:hAnsiTheme="majorEastAsia" w:cstheme="majorEastAsia"/>
                <w:color w:val="0D0D0D" w:themeColor="text1" w:themeTint="F2"/>
                <w:szCs w:val="21"/>
              </w:rPr>
              <w:lastRenderedPageBreak/>
              <w:t>间或区域为对象，以达标面积比例为评价依据。</w:t>
            </w:r>
          </w:p>
        </w:tc>
        <w:tc>
          <w:tcPr>
            <w:tcW w:w="1074" w:type="pct"/>
            <w:vAlign w:val="center"/>
          </w:tcPr>
          <w:p w14:paraId="17FAF3ED" w14:textId="1741BEE4"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查阅相关设计文件、计算分析报 告；评价查阅相关竣工图、计算分析报告。</w:t>
            </w:r>
          </w:p>
        </w:tc>
        <w:tc>
          <w:tcPr>
            <w:tcW w:w="555" w:type="pct"/>
            <w:vAlign w:val="center"/>
          </w:tcPr>
          <w:p w14:paraId="116C86E5" w14:textId="666168D1"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00D86C96" w:rsidRPr="00356770">
              <w:rPr>
                <w:rFonts w:asciiTheme="majorEastAsia" w:eastAsiaTheme="majorEastAsia" w:hAnsiTheme="majorEastAsia" w:cstheme="majorEastAsia"/>
                <w:color w:val="0D0D0D" w:themeColor="text1" w:themeTint="F2"/>
                <w:szCs w:val="21"/>
              </w:rPr>
              <w:t>0</w:t>
            </w:r>
          </w:p>
        </w:tc>
      </w:tr>
      <w:tr w:rsidR="00356770" w:rsidRPr="00356770" w14:paraId="2C55B8F8" w14:textId="77777777" w:rsidTr="00E51FA6">
        <w:trPr>
          <w:trHeight w:val="299"/>
        </w:trPr>
        <w:tc>
          <w:tcPr>
            <w:tcW w:w="236" w:type="pct"/>
            <w:vMerge/>
            <w:vAlign w:val="center"/>
          </w:tcPr>
          <w:p w14:paraId="1F5E5C09"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01FD8736" w14:textId="45329F06"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11</w:t>
            </w:r>
          </w:p>
        </w:tc>
        <w:tc>
          <w:tcPr>
            <w:tcW w:w="1223" w:type="pct"/>
            <w:vAlign w:val="center"/>
          </w:tcPr>
          <w:p w14:paraId="57DA1855" w14:textId="77777777"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优化建筑空间和平面布局，改善自然通风效果，</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8 分，并按规则评分。1．住宅建筑:通风开口面积与房间地板面积的比例在夏热冬</w:t>
            </w:r>
            <w:proofErr w:type="gramStart"/>
            <w:r w:rsidRPr="00356770">
              <w:rPr>
                <w:rFonts w:asciiTheme="majorEastAsia" w:eastAsiaTheme="majorEastAsia" w:hAnsiTheme="majorEastAsia" w:cstheme="majorEastAsia" w:hint="eastAsia"/>
                <w:color w:val="0D0D0D" w:themeColor="text1" w:themeTint="F2"/>
                <w:szCs w:val="21"/>
              </w:rPr>
              <w:t>暖地区</w:t>
            </w:r>
            <w:proofErr w:type="gramEnd"/>
            <w:r w:rsidRPr="00356770">
              <w:rPr>
                <w:rFonts w:asciiTheme="majorEastAsia" w:eastAsiaTheme="majorEastAsia" w:hAnsiTheme="majorEastAsia" w:cstheme="majorEastAsia" w:hint="eastAsia"/>
                <w:color w:val="0D0D0D" w:themeColor="text1" w:themeTint="F2"/>
                <w:szCs w:val="21"/>
              </w:rPr>
              <w:t>达到 12%，在夏热冬</w:t>
            </w:r>
            <w:proofErr w:type="gramStart"/>
            <w:r w:rsidRPr="00356770">
              <w:rPr>
                <w:rFonts w:asciiTheme="majorEastAsia" w:eastAsiaTheme="majorEastAsia" w:hAnsiTheme="majorEastAsia" w:cstheme="majorEastAsia" w:hint="eastAsia"/>
                <w:color w:val="0D0D0D" w:themeColor="text1" w:themeTint="F2"/>
                <w:szCs w:val="21"/>
              </w:rPr>
              <w:t>冷地区</w:t>
            </w:r>
            <w:proofErr w:type="gramEnd"/>
            <w:r w:rsidRPr="00356770">
              <w:rPr>
                <w:rFonts w:asciiTheme="majorEastAsia" w:eastAsiaTheme="majorEastAsia" w:hAnsiTheme="majorEastAsia" w:cstheme="majorEastAsia" w:hint="eastAsia"/>
                <w:color w:val="0D0D0D" w:themeColor="text1" w:themeTint="F2"/>
                <w:szCs w:val="21"/>
              </w:rPr>
              <w:t>达到 8%，在其他地区达到5%，得5分;</w:t>
            </w:r>
            <w:proofErr w:type="gramStart"/>
            <w:r w:rsidRPr="00356770">
              <w:rPr>
                <w:rFonts w:asciiTheme="majorEastAsia" w:eastAsiaTheme="majorEastAsia" w:hAnsiTheme="majorEastAsia" w:cstheme="majorEastAsia" w:hint="eastAsia"/>
                <w:color w:val="0D0D0D" w:themeColor="text1" w:themeTint="F2"/>
                <w:szCs w:val="21"/>
              </w:rPr>
              <w:t>每再增加</w:t>
            </w:r>
            <w:proofErr w:type="gramEnd"/>
            <w:r w:rsidRPr="00356770">
              <w:rPr>
                <w:rFonts w:asciiTheme="majorEastAsia" w:eastAsiaTheme="majorEastAsia" w:hAnsiTheme="majorEastAsia" w:cstheme="majorEastAsia" w:hint="eastAsia"/>
                <w:color w:val="0D0D0D" w:themeColor="text1" w:themeTint="F2"/>
                <w:szCs w:val="21"/>
              </w:rPr>
              <w:t xml:space="preserve"> 2%，再得1分，最高得8分。</w:t>
            </w:r>
          </w:p>
          <w:p w14:paraId="7638D018" w14:textId="64E45250"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2．公共建筑:过渡</w:t>
            </w:r>
            <w:proofErr w:type="gramStart"/>
            <w:r w:rsidRPr="00356770">
              <w:rPr>
                <w:rFonts w:asciiTheme="majorEastAsia" w:eastAsiaTheme="majorEastAsia" w:hAnsiTheme="majorEastAsia" w:cstheme="majorEastAsia" w:hint="eastAsia"/>
                <w:color w:val="0D0D0D" w:themeColor="text1" w:themeTint="F2"/>
                <w:szCs w:val="21"/>
              </w:rPr>
              <w:t>季典型</w:t>
            </w:r>
            <w:proofErr w:type="gramEnd"/>
            <w:r w:rsidRPr="00356770">
              <w:rPr>
                <w:rFonts w:asciiTheme="majorEastAsia" w:eastAsiaTheme="majorEastAsia" w:hAnsiTheme="majorEastAsia" w:cstheme="majorEastAsia" w:hint="eastAsia"/>
                <w:color w:val="0D0D0D" w:themeColor="text1" w:themeTint="F2"/>
                <w:szCs w:val="21"/>
              </w:rPr>
              <w:t>工况下主要功能房间平均自然通风换气次数不小于2次/h 的面积比例达到 70%，得5分;</w:t>
            </w:r>
            <w:proofErr w:type="gramStart"/>
            <w:r w:rsidRPr="00356770">
              <w:rPr>
                <w:rFonts w:asciiTheme="majorEastAsia" w:eastAsiaTheme="majorEastAsia" w:hAnsiTheme="majorEastAsia" w:cstheme="majorEastAsia" w:hint="eastAsia"/>
                <w:color w:val="0D0D0D" w:themeColor="text1" w:themeTint="F2"/>
                <w:szCs w:val="21"/>
              </w:rPr>
              <w:t>每再增加</w:t>
            </w:r>
            <w:proofErr w:type="gramEnd"/>
            <w:r w:rsidRPr="00356770">
              <w:rPr>
                <w:rFonts w:asciiTheme="majorEastAsia" w:eastAsiaTheme="majorEastAsia" w:hAnsiTheme="majorEastAsia" w:cstheme="majorEastAsia" w:hint="eastAsia"/>
                <w:color w:val="0D0D0D" w:themeColor="text1" w:themeTint="F2"/>
                <w:szCs w:val="21"/>
              </w:rPr>
              <w:t xml:space="preserve"> 10%，再得1分，最高得 8分。</w:t>
            </w:r>
          </w:p>
        </w:tc>
        <w:tc>
          <w:tcPr>
            <w:tcW w:w="1284" w:type="pct"/>
            <w:vAlign w:val="center"/>
          </w:tcPr>
          <w:p w14:paraId="7C9432BC" w14:textId="004786DF"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良好 的自然通风设计，如采用中庭、天井、通风塔、导风墙、外廊、可开启外墙或屋顶、地道风等，可以有效改善室内热湿环境和空气品质，提高人体舒适性。已有研究表明，在自然通风条件下，人们感觉热舒适和</w:t>
            </w:r>
            <w:proofErr w:type="gramStart"/>
            <w:r w:rsidRPr="00356770">
              <w:rPr>
                <w:rFonts w:asciiTheme="majorEastAsia" w:eastAsiaTheme="majorEastAsia" w:hAnsiTheme="majorEastAsia" w:cstheme="majorEastAsia"/>
                <w:color w:val="0D0D0D" w:themeColor="text1" w:themeTint="F2"/>
                <w:szCs w:val="21"/>
              </w:rPr>
              <w:t>可</w:t>
            </w:r>
            <w:proofErr w:type="gramEnd"/>
            <w:r w:rsidRPr="00356770">
              <w:rPr>
                <w:rFonts w:asciiTheme="majorEastAsia" w:eastAsiaTheme="majorEastAsia" w:hAnsiTheme="majorEastAsia" w:cstheme="majorEastAsia"/>
                <w:color w:val="0D0D0D" w:themeColor="text1" w:themeTint="F2"/>
                <w:szCs w:val="21"/>
              </w:rPr>
              <w:t>接受的环境温度要远比空调采暖室内环境设计标准限定的热舒适温度范围来得宽泛。当室外温湿度适宜时，良好的通风效果还能够减少空调的使用。</w:t>
            </w:r>
          </w:p>
        </w:tc>
        <w:tc>
          <w:tcPr>
            <w:tcW w:w="1074" w:type="pct"/>
            <w:vAlign w:val="center"/>
          </w:tcPr>
          <w:p w14:paraId="5C6B5D8B" w14:textId="54CC392D"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查阅相关设计文件，计算分析报告；评价查阅相关竣工图、计算分析报告。</w:t>
            </w:r>
          </w:p>
        </w:tc>
        <w:tc>
          <w:tcPr>
            <w:tcW w:w="555" w:type="pct"/>
            <w:vAlign w:val="center"/>
          </w:tcPr>
          <w:p w14:paraId="1DF07218" w14:textId="6F0AFEA7" w:rsidR="00E51FA6" w:rsidRPr="00356770" w:rsidRDefault="00D86C9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0</w:t>
            </w:r>
          </w:p>
        </w:tc>
      </w:tr>
      <w:tr w:rsidR="00E51FA6" w:rsidRPr="00356770" w14:paraId="63680C7C" w14:textId="3C0D5227" w:rsidTr="00E51FA6">
        <w:trPr>
          <w:trHeight w:val="299"/>
        </w:trPr>
        <w:tc>
          <w:tcPr>
            <w:tcW w:w="236" w:type="pct"/>
            <w:vMerge/>
            <w:vAlign w:val="center"/>
          </w:tcPr>
          <w:p w14:paraId="65A5B34F"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27" w:type="pct"/>
            <w:vAlign w:val="center"/>
          </w:tcPr>
          <w:p w14:paraId="20DCCBEC"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4136" w:type="pct"/>
            <w:gridSpan w:val="4"/>
            <w:vAlign w:val="center"/>
          </w:tcPr>
          <w:p w14:paraId="5187D7A1" w14:textId="18A5D59D"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健康舒适项总分：</w:t>
            </w:r>
            <w:r w:rsidR="00356770" w:rsidRPr="00356770">
              <w:rPr>
                <w:rFonts w:asciiTheme="majorEastAsia" w:eastAsiaTheme="majorEastAsia" w:hAnsiTheme="majorEastAsia" w:cstheme="majorEastAsia" w:hint="eastAsia"/>
                <w:color w:val="0D0D0D" w:themeColor="text1" w:themeTint="F2"/>
                <w:szCs w:val="21"/>
              </w:rPr>
              <w:t>7</w:t>
            </w:r>
            <w:r w:rsidR="00356770" w:rsidRPr="00356770">
              <w:rPr>
                <w:rFonts w:asciiTheme="majorEastAsia" w:eastAsiaTheme="majorEastAsia" w:hAnsiTheme="majorEastAsia" w:cstheme="majorEastAsia"/>
                <w:color w:val="0D0D0D" w:themeColor="text1" w:themeTint="F2"/>
                <w:szCs w:val="21"/>
              </w:rPr>
              <w:t>3</w:t>
            </w:r>
          </w:p>
        </w:tc>
      </w:tr>
    </w:tbl>
    <w:p w14:paraId="29B3D873"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p w14:paraId="738380BA"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表A-</w:t>
      </w:r>
      <w:r w:rsidRPr="00356770">
        <w:rPr>
          <w:rFonts w:asciiTheme="majorEastAsia" w:eastAsiaTheme="majorEastAsia" w:hAnsiTheme="majorEastAsia" w:cstheme="majorEastAsia" w:hint="eastAsia"/>
          <w:b/>
          <w:bCs/>
          <w:color w:val="0D0D0D" w:themeColor="text1" w:themeTint="F2"/>
          <w:szCs w:val="21"/>
        </w:rPr>
        <w:t>3</w:t>
      </w:r>
      <w:r w:rsidRPr="00356770">
        <w:rPr>
          <w:rFonts w:asciiTheme="majorEastAsia" w:eastAsiaTheme="majorEastAsia" w:hAnsiTheme="majorEastAsia" w:cstheme="majorEastAsia"/>
          <w:b/>
          <w:bCs/>
          <w:color w:val="0D0D0D" w:themeColor="text1" w:themeTint="F2"/>
          <w:szCs w:val="21"/>
        </w:rPr>
        <w:t xml:space="preserve"> </w:t>
      </w:r>
      <w:r w:rsidRPr="00356770">
        <w:rPr>
          <w:rFonts w:asciiTheme="majorEastAsia" w:eastAsiaTheme="majorEastAsia" w:hAnsiTheme="majorEastAsia" w:cstheme="majorEastAsia" w:hint="eastAsia"/>
          <w:b/>
          <w:bCs/>
          <w:color w:val="0D0D0D" w:themeColor="text1" w:themeTint="F2"/>
          <w:szCs w:val="21"/>
        </w:rPr>
        <w:t>生活便利</w:t>
      </w:r>
    </w:p>
    <w:tbl>
      <w:tblPr>
        <w:tblStyle w:val="a3"/>
        <w:tblW w:w="4996" w:type="pct"/>
        <w:tblLook w:val="04A0" w:firstRow="1" w:lastRow="0" w:firstColumn="1" w:lastColumn="0" w:noHBand="0" w:noVBand="1"/>
      </w:tblPr>
      <w:tblGrid>
        <w:gridCol w:w="434"/>
        <w:gridCol w:w="1092"/>
        <w:gridCol w:w="2274"/>
        <w:gridCol w:w="29"/>
        <w:gridCol w:w="2308"/>
        <w:gridCol w:w="1820"/>
        <w:gridCol w:w="1052"/>
      </w:tblGrid>
      <w:tr w:rsidR="00356770" w:rsidRPr="00356770" w14:paraId="2B6DC4C7" w14:textId="77777777" w:rsidTr="0038210A">
        <w:tc>
          <w:tcPr>
            <w:tcW w:w="2109" w:type="pct"/>
            <w:gridSpan w:val="3"/>
            <w:vAlign w:val="center"/>
          </w:tcPr>
          <w:p w14:paraId="16EE4E51"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标准条文</w:t>
            </w:r>
          </w:p>
        </w:tc>
        <w:tc>
          <w:tcPr>
            <w:tcW w:w="1297" w:type="pct"/>
            <w:gridSpan w:val="2"/>
            <w:vAlign w:val="center"/>
          </w:tcPr>
          <w:p w14:paraId="4F3F3EE2"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1010" w:type="pct"/>
            <w:vAlign w:val="center"/>
          </w:tcPr>
          <w:p w14:paraId="485C4C8D"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评价方法</w:t>
            </w:r>
          </w:p>
        </w:tc>
        <w:tc>
          <w:tcPr>
            <w:tcW w:w="584" w:type="pct"/>
            <w:vAlign w:val="center"/>
          </w:tcPr>
          <w:p w14:paraId="17F19F02"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w:t>
            </w:r>
          </w:p>
        </w:tc>
      </w:tr>
      <w:tr w:rsidR="00356770" w:rsidRPr="00356770" w14:paraId="3A6E1ED5" w14:textId="77777777" w:rsidTr="0038210A">
        <w:tc>
          <w:tcPr>
            <w:tcW w:w="241" w:type="pct"/>
            <w:vMerge w:val="restart"/>
            <w:vAlign w:val="center"/>
          </w:tcPr>
          <w:p w14:paraId="2D22D0D9"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w:t>
            </w:r>
          </w:p>
          <w:p w14:paraId="2BB2E468"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制</w:t>
            </w:r>
          </w:p>
          <w:p w14:paraId="08F13FE1"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6" w:type="pct"/>
            <w:vAlign w:val="center"/>
          </w:tcPr>
          <w:p w14:paraId="2A2C42E7"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w:t>
            </w:r>
          </w:p>
        </w:tc>
        <w:tc>
          <w:tcPr>
            <w:tcW w:w="1262" w:type="pct"/>
            <w:vAlign w:val="center"/>
          </w:tcPr>
          <w:p w14:paraId="7F0F592D"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条文内容</w:t>
            </w:r>
          </w:p>
        </w:tc>
        <w:tc>
          <w:tcPr>
            <w:tcW w:w="1297" w:type="pct"/>
            <w:gridSpan w:val="2"/>
            <w:vAlign w:val="center"/>
          </w:tcPr>
          <w:p w14:paraId="0ADD1B92"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tc>
        <w:tc>
          <w:tcPr>
            <w:tcW w:w="1010" w:type="pct"/>
            <w:vAlign w:val="center"/>
          </w:tcPr>
          <w:p w14:paraId="5F776C34"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tc>
        <w:tc>
          <w:tcPr>
            <w:tcW w:w="584" w:type="pct"/>
            <w:vAlign w:val="center"/>
          </w:tcPr>
          <w:p w14:paraId="037F01A1" w14:textId="49F80625"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3BC4F35A" w14:textId="77777777" w:rsidTr="0038210A">
        <w:tc>
          <w:tcPr>
            <w:tcW w:w="241" w:type="pct"/>
            <w:vMerge/>
            <w:vAlign w:val="center"/>
          </w:tcPr>
          <w:p w14:paraId="2DA1A4B3"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D384045" w14:textId="736EABD0"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.1.1</w:t>
            </w:r>
          </w:p>
        </w:tc>
        <w:tc>
          <w:tcPr>
            <w:tcW w:w="1262" w:type="pct"/>
            <w:vAlign w:val="center"/>
          </w:tcPr>
          <w:p w14:paraId="6206575A" w14:textId="08A0E8B6"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建筑、室外场地、公共绿地、城市道路相互之间应设置连贯的无障碍步行系统。</w:t>
            </w:r>
          </w:p>
        </w:tc>
        <w:tc>
          <w:tcPr>
            <w:tcW w:w="1297" w:type="pct"/>
            <w:gridSpan w:val="2"/>
            <w:vAlign w:val="center"/>
          </w:tcPr>
          <w:p w14:paraId="2852120E" w14:textId="066927BC"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要求在室外场地设计中，应保证无障碍步行系统连贯性设计，场地范围内的人行通道应与城市道路、场地内道路、建筑主要出入口、场地公共绿地和公共空间等相连通、连续。其中公共绿地是指为各级生活圈居住区配建的公园绿地及街头小广场。对应城市用地分类用地（绿地与广场用地）中的公园绿地 </w:t>
            </w:r>
            <w:proofErr w:type="spellStart"/>
            <w:r w:rsidRPr="00356770">
              <w:rPr>
                <w:rFonts w:asciiTheme="majorEastAsia" w:eastAsiaTheme="majorEastAsia" w:hAnsiTheme="majorEastAsia" w:cstheme="majorEastAsia"/>
                <w:color w:val="0D0D0D" w:themeColor="text1" w:themeTint="F2"/>
                <w:szCs w:val="21"/>
              </w:rPr>
              <w:t>Gl</w:t>
            </w:r>
            <w:proofErr w:type="spellEnd"/>
            <w:r w:rsidRPr="00356770">
              <w:rPr>
                <w:rFonts w:asciiTheme="majorEastAsia" w:eastAsiaTheme="majorEastAsia" w:hAnsiTheme="majorEastAsia" w:cstheme="majorEastAsia"/>
                <w:color w:val="0D0D0D" w:themeColor="text1" w:themeTint="F2"/>
                <w:szCs w:val="21"/>
              </w:rPr>
              <w:t>) 及广场用地</w:t>
            </w:r>
            <w:r w:rsidRPr="00356770">
              <w:rPr>
                <w:rFonts w:asciiTheme="majorEastAsia" w:eastAsiaTheme="majorEastAsia" w:hAnsiTheme="majorEastAsia" w:cstheme="majorEastAsia" w:hint="eastAsia"/>
                <w:color w:val="0D0D0D" w:themeColor="text1" w:themeTint="F2"/>
                <w:szCs w:val="21"/>
              </w:rPr>
              <w:t>G类用地</w:t>
            </w:r>
            <w:r w:rsidRPr="00356770">
              <w:rPr>
                <w:rFonts w:asciiTheme="majorEastAsia" w:eastAsiaTheme="majorEastAsia" w:hAnsiTheme="majorEastAsia" w:cstheme="majorEastAsia"/>
                <w:color w:val="0D0D0D" w:themeColor="text1" w:themeTint="F2"/>
                <w:szCs w:val="21"/>
              </w:rPr>
              <w:t>(G3), 不包括城市级的大型公</w:t>
            </w:r>
            <w:r w:rsidRPr="00356770">
              <w:rPr>
                <w:rFonts w:asciiTheme="majorEastAsia" w:eastAsiaTheme="majorEastAsia" w:hAnsiTheme="majorEastAsia" w:cstheme="majorEastAsia"/>
                <w:color w:val="0D0D0D" w:themeColor="text1" w:themeTint="F2"/>
                <w:szCs w:val="21"/>
              </w:rPr>
              <w:lastRenderedPageBreak/>
              <w:t>园绿地及广场用地，也不包括居住街坊内的绿地。</w:t>
            </w:r>
            <w:proofErr w:type="gramStart"/>
            <w:r w:rsidRPr="00356770">
              <w:rPr>
                <w:rFonts w:asciiTheme="majorEastAsia" w:eastAsiaTheme="majorEastAsia" w:hAnsiTheme="majorEastAsia" w:cstheme="majorEastAsia"/>
                <w:color w:val="0D0D0D" w:themeColor="text1" w:themeTint="F2"/>
                <w:szCs w:val="21"/>
              </w:rPr>
              <w:t>当场地</w:t>
            </w:r>
            <w:proofErr w:type="gramEnd"/>
            <w:r w:rsidRPr="00356770">
              <w:rPr>
                <w:rFonts w:asciiTheme="majorEastAsia" w:eastAsiaTheme="majorEastAsia" w:hAnsiTheme="majorEastAsia" w:cstheme="majorEastAsia"/>
                <w:color w:val="0D0D0D" w:themeColor="text1" w:themeTint="F2"/>
                <w:szCs w:val="21"/>
              </w:rPr>
              <w:t>存在高差时，应以无障碍坡道相连接。</w:t>
            </w:r>
          </w:p>
        </w:tc>
        <w:tc>
          <w:tcPr>
            <w:tcW w:w="1010" w:type="pct"/>
            <w:vAlign w:val="center"/>
          </w:tcPr>
          <w:p w14:paraId="6F8B6E50" w14:textId="0B260AB4"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w:t>
            </w:r>
          </w:p>
        </w:tc>
        <w:tc>
          <w:tcPr>
            <w:tcW w:w="584" w:type="pct"/>
            <w:vAlign w:val="center"/>
          </w:tcPr>
          <w:p w14:paraId="5313DAFD" w14:textId="05105F1A"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46FEB85C" w14:textId="77777777" w:rsidTr="0038210A">
        <w:tc>
          <w:tcPr>
            <w:tcW w:w="241" w:type="pct"/>
            <w:vMerge/>
            <w:vAlign w:val="center"/>
          </w:tcPr>
          <w:p w14:paraId="0DB89C90"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E5B041E" w14:textId="726222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.1.2</w:t>
            </w:r>
          </w:p>
        </w:tc>
        <w:tc>
          <w:tcPr>
            <w:tcW w:w="1262" w:type="pct"/>
            <w:vAlign w:val="center"/>
          </w:tcPr>
          <w:p w14:paraId="04BA01DE" w14:textId="6D4F6005"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场地人行出入口 500m 内应设有公共交通站点或配备联系公共交通站点的专用接驳车。</w:t>
            </w:r>
          </w:p>
        </w:tc>
        <w:tc>
          <w:tcPr>
            <w:tcW w:w="1297" w:type="pct"/>
            <w:gridSpan w:val="2"/>
            <w:vAlign w:val="center"/>
          </w:tcPr>
          <w:p w14:paraId="6EE644A3" w14:textId="4D753FBB"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本条以人步行到达公共交通站点（含轨道交通站点）的适宜时间不应超过</w:t>
            </w:r>
            <w:proofErr w:type="spellStart"/>
            <w:r w:rsidRPr="00356770">
              <w:rPr>
                <w:rFonts w:asciiTheme="majorEastAsia" w:eastAsiaTheme="majorEastAsia" w:hAnsiTheme="majorEastAsia" w:cstheme="majorEastAsia"/>
                <w:color w:val="0D0D0D" w:themeColor="text1" w:themeTint="F2"/>
                <w:szCs w:val="21"/>
              </w:rPr>
              <w:t>lOmin</w:t>
            </w:r>
            <w:proofErr w:type="spellEnd"/>
            <w:r w:rsidRPr="00356770">
              <w:rPr>
                <w:rFonts w:asciiTheme="majorEastAsia" w:eastAsiaTheme="majorEastAsia" w:hAnsiTheme="majorEastAsia" w:cstheme="majorEastAsia"/>
                <w:color w:val="0D0D0D" w:themeColor="text1" w:themeTint="F2"/>
                <w:szCs w:val="21"/>
              </w:rPr>
              <w:t>作为公共交通站点设置的合理距离，强调了建筑 500m 范围内应设置公共交通站点，这也是促进公共交通出行的先决条件。有些项目因地处新建区，暂时未开通公交达不到本条要求的，应配备专用接驳</w:t>
            </w:r>
            <w:proofErr w:type="gramStart"/>
            <w:r w:rsidRPr="00356770">
              <w:rPr>
                <w:rFonts w:asciiTheme="majorEastAsia" w:eastAsiaTheme="majorEastAsia" w:hAnsiTheme="majorEastAsia" w:cstheme="majorEastAsia"/>
                <w:color w:val="0D0D0D" w:themeColor="text1" w:themeTint="F2"/>
                <w:szCs w:val="21"/>
              </w:rPr>
              <w:t>车联系</w:t>
            </w:r>
            <w:proofErr w:type="gramEnd"/>
            <w:r w:rsidRPr="00356770">
              <w:rPr>
                <w:rFonts w:asciiTheme="majorEastAsia" w:eastAsiaTheme="majorEastAsia" w:hAnsiTheme="majorEastAsia" w:cstheme="majorEastAsia"/>
                <w:color w:val="0D0D0D" w:themeColor="text1" w:themeTint="F2"/>
                <w:szCs w:val="21"/>
              </w:rPr>
              <w:t>公共交通站点，以保障公交出行的便捷性。</w:t>
            </w:r>
          </w:p>
        </w:tc>
        <w:tc>
          <w:tcPr>
            <w:tcW w:w="1010" w:type="pct"/>
            <w:vAlign w:val="center"/>
          </w:tcPr>
          <w:p w14:paraId="12E41AC0" w14:textId="261AC672"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查阅相关设计文件、交通站点标识图；评价查阅相关竣工图。</w:t>
            </w:r>
          </w:p>
        </w:tc>
        <w:tc>
          <w:tcPr>
            <w:tcW w:w="584" w:type="pct"/>
            <w:vAlign w:val="center"/>
          </w:tcPr>
          <w:p w14:paraId="53E30334" w14:textId="601D150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6ACF3369" w14:textId="77777777" w:rsidTr="0038210A">
        <w:tc>
          <w:tcPr>
            <w:tcW w:w="241" w:type="pct"/>
            <w:vMerge/>
            <w:vAlign w:val="center"/>
          </w:tcPr>
          <w:p w14:paraId="34F36C6D"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993649D" w14:textId="0A362B1D"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3</w:t>
            </w:r>
          </w:p>
        </w:tc>
        <w:tc>
          <w:tcPr>
            <w:tcW w:w="1262" w:type="pct"/>
            <w:vAlign w:val="center"/>
          </w:tcPr>
          <w:p w14:paraId="2687E521" w14:textId="0DC33913"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停场应具有电动汽车充电设施或具备充电设施的安装条件，并应合理设置电动汽车和无障碍汽车停车位。</w:t>
            </w:r>
          </w:p>
        </w:tc>
        <w:tc>
          <w:tcPr>
            <w:tcW w:w="1297" w:type="pct"/>
            <w:gridSpan w:val="2"/>
            <w:vAlign w:val="center"/>
          </w:tcPr>
          <w:p w14:paraId="466DF3D6" w14:textId="6C3BD143"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对于居住区，居住区停车场和车库的总停车位应设置不少于 0. 5% 的无障碍机动车停车位，若设有多个停车场和车库，宜每处设置不少于1个无障碍机动车停车位；对于公共建筑，建筑基地内总停车数在 100 </w:t>
            </w:r>
            <w:proofErr w:type="gramStart"/>
            <w:r w:rsidRPr="00356770">
              <w:rPr>
                <w:rFonts w:asciiTheme="majorEastAsia" w:eastAsiaTheme="majorEastAsia" w:hAnsiTheme="majorEastAsia" w:cstheme="majorEastAsia"/>
                <w:color w:val="0D0D0D" w:themeColor="text1" w:themeTint="F2"/>
                <w:szCs w:val="21"/>
              </w:rPr>
              <w:t>辆以下</w:t>
            </w:r>
            <w:proofErr w:type="gramEnd"/>
            <w:r w:rsidRPr="00356770">
              <w:rPr>
                <w:rFonts w:asciiTheme="majorEastAsia" w:eastAsiaTheme="majorEastAsia" w:hAnsiTheme="majorEastAsia" w:cstheme="majorEastAsia"/>
                <w:color w:val="0D0D0D" w:themeColor="text1" w:themeTint="F2"/>
                <w:szCs w:val="21"/>
              </w:rPr>
              <w:t>时应设置 不少于</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 xml:space="preserve">个无障碍机动车停车位， 100 </w:t>
            </w:r>
            <w:proofErr w:type="gramStart"/>
            <w:r w:rsidRPr="00356770">
              <w:rPr>
                <w:rFonts w:asciiTheme="majorEastAsia" w:eastAsiaTheme="majorEastAsia" w:hAnsiTheme="majorEastAsia" w:cstheme="majorEastAsia"/>
                <w:color w:val="0D0D0D" w:themeColor="text1" w:themeTint="F2"/>
                <w:szCs w:val="21"/>
              </w:rPr>
              <w:t>辆以上</w:t>
            </w:r>
            <w:proofErr w:type="gramEnd"/>
            <w:r w:rsidRPr="00356770">
              <w:rPr>
                <w:rFonts w:asciiTheme="majorEastAsia" w:eastAsiaTheme="majorEastAsia" w:hAnsiTheme="majorEastAsia" w:cstheme="majorEastAsia"/>
                <w:color w:val="0D0D0D" w:themeColor="text1" w:themeTint="F2"/>
                <w:szCs w:val="21"/>
              </w:rPr>
              <w:t>时应设置不少于总停车数 1% 的尤障碍机动车停车位。</w:t>
            </w:r>
          </w:p>
        </w:tc>
        <w:tc>
          <w:tcPr>
            <w:tcW w:w="1010" w:type="pct"/>
            <w:vAlign w:val="center"/>
          </w:tcPr>
          <w:p w14:paraId="03303236" w14:textId="4DD7ECFA"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w:t>
            </w:r>
          </w:p>
        </w:tc>
        <w:tc>
          <w:tcPr>
            <w:tcW w:w="584" w:type="pct"/>
            <w:vAlign w:val="center"/>
          </w:tcPr>
          <w:p w14:paraId="6B02F072" w14:textId="56BC8A4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55638B34" w14:textId="77777777" w:rsidTr="0038210A">
        <w:tc>
          <w:tcPr>
            <w:tcW w:w="241" w:type="pct"/>
            <w:vMerge/>
            <w:vAlign w:val="center"/>
          </w:tcPr>
          <w:p w14:paraId="21B1041D"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EF7949E" w14:textId="01F5E058"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4</w:t>
            </w:r>
          </w:p>
        </w:tc>
        <w:tc>
          <w:tcPr>
            <w:tcW w:w="1262" w:type="pct"/>
            <w:vAlign w:val="center"/>
          </w:tcPr>
          <w:p w14:paraId="1B0D4133" w14:textId="69F321DA"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自行车停车场所应位置合理、方便出入。</w:t>
            </w:r>
          </w:p>
        </w:tc>
        <w:tc>
          <w:tcPr>
            <w:tcW w:w="1297" w:type="pct"/>
            <w:gridSpan w:val="2"/>
            <w:vAlign w:val="center"/>
          </w:tcPr>
          <w:p w14:paraId="668B0629" w14:textId="6FAB138D"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本条为使用自行车出行的人提供方便的停车场所，以此鼓励绿色出行。自行车停车场所应规模适度、布局合理，符合使用者出行习惯。</w:t>
            </w:r>
          </w:p>
        </w:tc>
        <w:tc>
          <w:tcPr>
            <w:tcW w:w="1010" w:type="pct"/>
            <w:vAlign w:val="center"/>
          </w:tcPr>
          <w:p w14:paraId="7E783B6A" w14:textId="1119F52C"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w:t>
            </w:r>
          </w:p>
        </w:tc>
        <w:tc>
          <w:tcPr>
            <w:tcW w:w="584" w:type="pct"/>
            <w:vAlign w:val="center"/>
          </w:tcPr>
          <w:p w14:paraId="658C609E" w14:textId="1A12A73B"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D989E82" w14:textId="77777777" w:rsidTr="0038210A">
        <w:tc>
          <w:tcPr>
            <w:tcW w:w="241" w:type="pct"/>
            <w:vMerge/>
            <w:vAlign w:val="center"/>
          </w:tcPr>
          <w:p w14:paraId="28D7BEF7"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7C5D4F5" w14:textId="6ACBCACF"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5</w:t>
            </w:r>
          </w:p>
        </w:tc>
        <w:tc>
          <w:tcPr>
            <w:tcW w:w="1262" w:type="pct"/>
            <w:vAlign w:val="center"/>
          </w:tcPr>
          <w:p w14:paraId="7B87A2ED" w14:textId="4DC7C391" w:rsidR="00E51FA6" w:rsidRPr="00356770" w:rsidRDefault="00E51FA6" w:rsidP="00E51FA6">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建筑设备管理系统应具有自动监控管理功能。</w:t>
            </w:r>
          </w:p>
        </w:tc>
        <w:tc>
          <w:tcPr>
            <w:tcW w:w="1297" w:type="pct"/>
            <w:gridSpan w:val="2"/>
            <w:vAlign w:val="center"/>
          </w:tcPr>
          <w:p w14:paraId="2BDF50A8" w14:textId="77777777" w:rsidR="00E51FA6" w:rsidRPr="00356770" w:rsidRDefault="00E51FA6" w:rsidP="00E51FA6">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本条旨在通过完善和落实建筑设备管理系统的自动监控管理功能，确 保建筑物的高效运营管理。但不同规模、不同</w:t>
            </w:r>
            <w:r w:rsidRPr="00356770">
              <w:rPr>
                <w:rFonts w:asciiTheme="majorEastAsia" w:eastAsiaTheme="majorEastAsia" w:hAnsiTheme="majorEastAsia" w:cstheme="majorEastAsia"/>
                <w:color w:val="0D0D0D" w:themeColor="text1" w:themeTint="F2"/>
                <w:szCs w:val="21"/>
              </w:rPr>
              <w:lastRenderedPageBreak/>
              <w:t>功能的建筑项目是否需要设置以及需设置的系统大小应根据实际情况合理确定，规范设置。比如当公共建筑的面积不大于</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万而或住宅建筑面积不大</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 xml:space="preserve"> 10 万而时，对于其公共设施的监控可以不设建筑设备 自动监控系统，但应设置简易的节能控制措施，如对风机水泵的变频控制、不联网的就地控制器、简单的单回路反馈控制等，也都能取得良好的效果。 </w:t>
            </w:r>
          </w:p>
          <w:p w14:paraId="1D825BE8" w14:textId="3126154C"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为确保建筑高效运营管理，建筑设备管理系统的自动监控管理功能应能实现对主要设备的有效监控。</w:t>
            </w:r>
          </w:p>
        </w:tc>
        <w:tc>
          <w:tcPr>
            <w:tcW w:w="1010" w:type="pct"/>
            <w:vAlign w:val="center"/>
          </w:tcPr>
          <w:p w14:paraId="2D0C85DC" w14:textId="1D0BDD67"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查阅相关设计文件（智能化设计图纸、装修图纸）；评价查阅相关竣工图。</w:t>
            </w:r>
          </w:p>
        </w:tc>
        <w:tc>
          <w:tcPr>
            <w:tcW w:w="584" w:type="pct"/>
            <w:vAlign w:val="center"/>
          </w:tcPr>
          <w:p w14:paraId="547813B3" w14:textId="58A6548E"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4DE07A4" w14:textId="77777777" w:rsidTr="0038210A">
        <w:tc>
          <w:tcPr>
            <w:tcW w:w="241" w:type="pct"/>
            <w:vMerge/>
            <w:vAlign w:val="center"/>
          </w:tcPr>
          <w:p w14:paraId="7787F836"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64A179E" w14:textId="723BF6BD"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6</w:t>
            </w:r>
          </w:p>
        </w:tc>
        <w:tc>
          <w:tcPr>
            <w:tcW w:w="1262" w:type="pct"/>
            <w:vAlign w:val="center"/>
          </w:tcPr>
          <w:p w14:paraId="5378E6BB" w14:textId="03E0009D"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建筑应设置信息网络系统。</w:t>
            </w:r>
          </w:p>
        </w:tc>
        <w:tc>
          <w:tcPr>
            <w:tcW w:w="1297" w:type="pct"/>
            <w:gridSpan w:val="2"/>
            <w:vAlign w:val="center"/>
          </w:tcPr>
          <w:p w14:paraId="60388812" w14:textId="6B397542" w:rsidR="00E51FA6" w:rsidRPr="00356770" w:rsidRDefault="00E51FA6" w:rsidP="00E51FA6">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设置合理、完善的信息网络系统。建筑内的信息网络系统一般分为业务信息网和智能化设施信息网，包括物理线缆层、网络交换层、安全及安全管理系统、运行维护管理系统五部分，支持建筑内语音、数据、图像等多种类信息的传输。系统和信息的安全，是系统正常运行的前提，一定要保证。建筑内信息网络系统与建筑物外其他信息网互联时，必须采取信息安全防范措施，确保信息网络系统安全、稳定和可靠。</w:t>
            </w:r>
          </w:p>
        </w:tc>
        <w:tc>
          <w:tcPr>
            <w:tcW w:w="1010" w:type="pct"/>
            <w:vAlign w:val="center"/>
          </w:tcPr>
          <w:p w14:paraId="73C90935" w14:textId="165451B3" w:rsidR="00E51FA6" w:rsidRPr="00356770" w:rsidRDefault="00E51FA6" w:rsidP="00E51FA6">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查阅相关设计文件（智能化、装修专业）；评价查阅相关竣工图。</w:t>
            </w:r>
          </w:p>
        </w:tc>
        <w:tc>
          <w:tcPr>
            <w:tcW w:w="584" w:type="pct"/>
            <w:vAlign w:val="center"/>
          </w:tcPr>
          <w:p w14:paraId="02731AF6" w14:textId="1A781319"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 xml:space="preserve">满足 </w:t>
            </w:r>
          </w:p>
        </w:tc>
      </w:tr>
      <w:tr w:rsidR="00356770" w:rsidRPr="00356770" w14:paraId="29815BDE" w14:textId="77777777" w:rsidTr="0038210A">
        <w:trPr>
          <w:trHeight w:val="248"/>
        </w:trPr>
        <w:tc>
          <w:tcPr>
            <w:tcW w:w="241" w:type="pct"/>
            <w:vMerge/>
            <w:vAlign w:val="center"/>
          </w:tcPr>
          <w:p w14:paraId="29F42693"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678B0BE" w14:textId="77777777"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2559" w:type="pct"/>
            <w:gridSpan w:val="3"/>
            <w:vAlign w:val="center"/>
          </w:tcPr>
          <w:p w14:paraId="2F212C9C" w14:textId="28F29FCB"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用于基本</w:t>
            </w:r>
            <w:proofErr w:type="gramStart"/>
            <w:r w:rsidRPr="00356770">
              <w:rPr>
                <w:rFonts w:asciiTheme="majorEastAsia" w:eastAsiaTheme="majorEastAsia" w:hAnsiTheme="majorEastAsia" w:cstheme="majorEastAsia" w:hint="eastAsia"/>
                <w:color w:val="0D0D0D" w:themeColor="text1" w:themeTint="F2"/>
                <w:szCs w:val="21"/>
              </w:rPr>
              <w:t>级评价</w:t>
            </w:r>
            <w:proofErr w:type="gramEnd"/>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用于星级控制</w:t>
            </w:r>
            <w:proofErr w:type="gramStart"/>
            <w:r w:rsidRPr="00356770">
              <w:rPr>
                <w:rFonts w:asciiTheme="majorEastAsia" w:eastAsiaTheme="majorEastAsia" w:hAnsiTheme="majorEastAsia" w:cstheme="majorEastAsia" w:hint="eastAsia"/>
                <w:color w:val="0D0D0D" w:themeColor="text1" w:themeTint="F2"/>
                <w:szCs w:val="21"/>
              </w:rPr>
              <w:t>项评价</w:t>
            </w:r>
            <w:proofErr w:type="gramEnd"/>
            <w:r w:rsidRPr="00356770">
              <w:rPr>
                <w:rFonts w:asciiTheme="majorEastAsia" w:eastAsiaTheme="majorEastAsia" w:hAnsiTheme="majorEastAsia" w:cstheme="majorEastAsia" w:hint="eastAsia"/>
                <w:color w:val="0D0D0D" w:themeColor="text1" w:themeTint="F2"/>
                <w:szCs w:val="21"/>
              </w:rPr>
              <w:t>□</w:t>
            </w:r>
          </w:p>
        </w:tc>
        <w:tc>
          <w:tcPr>
            <w:tcW w:w="1594" w:type="pct"/>
            <w:gridSpan w:val="2"/>
            <w:vAlign w:val="center"/>
          </w:tcPr>
          <w:p w14:paraId="26B9305E" w14:textId="4A1E3524" w:rsidR="00E51FA6" w:rsidRPr="00356770" w:rsidRDefault="00E51FA6" w:rsidP="00E51FA6">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评价结果：满足</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不满足□</w:t>
            </w:r>
          </w:p>
        </w:tc>
      </w:tr>
      <w:tr w:rsidR="00356770" w:rsidRPr="00356770" w14:paraId="01AE7D11" w14:textId="77777777" w:rsidTr="0038210A">
        <w:trPr>
          <w:trHeight w:val="207"/>
        </w:trPr>
        <w:tc>
          <w:tcPr>
            <w:tcW w:w="241" w:type="pct"/>
            <w:vMerge w:val="restart"/>
            <w:vAlign w:val="center"/>
          </w:tcPr>
          <w:p w14:paraId="62AE25B1"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w:t>
            </w:r>
          </w:p>
          <w:p w14:paraId="4DE8F388"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分</w:t>
            </w:r>
          </w:p>
          <w:p w14:paraId="7CD38863"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6" w:type="pct"/>
            <w:vAlign w:val="center"/>
          </w:tcPr>
          <w:p w14:paraId="5A2431F4" w14:textId="297182EF"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.2.1</w:t>
            </w:r>
          </w:p>
        </w:tc>
        <w:tc>
          <w:tcPr>
            <w:tcW w:w="1278" w:type="pct"/>
            <w:gridSpan w:val="2"/>
            <w:vAlign w:val="center"/>
          </w:tcPr>
          <w:p w14:paraId="6EB15295"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场地与公共交通站点联系便捷，</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8 分，并按下列规则分别评分并累计。1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场地出入口到达公</w:t>
            </w:r>
            <w:r w:rsidRPr="00356770">
              <w:rPr>
                <w:rFonts w:asciiTheme="majorEastAsia" w:eastAsiaTheme="majorEastAsia" w:hAnsiTheme="majorEastAsia" w:cstheme="majorEastAsia" w:hint="eastAsia"/>
                <w:color w:val="0D0D0D" w:themeColor="text1" w:themeTint="F2"/>
                <w:szCs w:val="21"/>
              </w:rPr>
              <w:lastRenderedPageBreak/>
              <w:t>共交通站点的步行距离不超过 500m或到达轨道交通站的步行距离不大于 800m，得 2分;场地出入口到达公共交通站点的步行距离不超过 300m，或到达轨道交通站的步行距离不大于500m，得4分;</w:t>
            </w:r>
          </w:p>
          <w:p w14:paraId="399D3E60" w14:textId="23BA229B"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2．场地出入口步行距离 800m 范围内设有不少于2条线路的公共交通站点，得 4 分。</w:t>
            </w:r>
          </w:p>
        </w:tc>
        <w:tc>
          <w:tcPr>
            <w:tcW w:w="1281" w:type="pct"/>
            <w:vAlign w:val="center"/>
          </w:tcPr>
          <w:p w14:paraId="606EAF75" w14:textId="40B5A706"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公共交通站点包括公共汽车站和轨道交通站。为便于选择公共交通出行，在选址与场地规划中应重视建筑场</w:t>
            </w:r>
            <w:r w:rsidRPr="00356770">
              <w:rPr>
                <w:rFonts w:asciiTheme="majorEastAsia" w:eastAsiaTheme="majorEastAsia" w:hAnsiTheme="majorEastAsia" w:cstheme="majorEastAsia"/>
                <w:color w:val="0D0D0D" w:themeColor="text1" w:themeTint="F2"/>
                <w:szCs w:val="21"/>
              </w:rPr>
              <w:lastRenderedPageBreak/>
              <w:t>地与公共交通站点的便捷联系，合理设置出入口。</w:t>
            </w:r>
          </w:p>
        </w:tc>
        <w:tc>
          <w:tcPr>
            <w:tcW w:w="1010" w:type="pct"/>
            <w:vAlign w:val="center"/>
          </w:tcPr>
          <w:p w14:paraId="114DF964" w14:textId="12695A2D" w:rsidR="00BF690A" w:rsidRPr="00356770" w:rsidRDefault="00BF690A" w:rsidP="00BF690A">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w:t>
            </w:r>
          </w:p>
        </w:tc>
        <w:tc>
          <w:tcPr>
            <w:tcW w:w="584" w:type="pct"/>
            <w:vAlign w:val="center"/>
          </w:tcPr>
          <w:p w14:paraId="77653BA7" w14:textId="6C4635F7" w:rsidR="00BF690A" w:rsidRPr="00356770" w:rsidRDefault="00D86C96"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0</w:t>
            </w:r>
          </w:p>
        </w:tc>
      </w:tr>
      <w:tr w:rsidR="00356770" w:rsidRPr="00356770" w14:paraId="7C3DF2A4" w14:textId="77777777" w:rsidTr="0038210A">
        <w:trPr>
          <w:trHeight w:val="139"/>
        </w:trPr>
        <w:tc>
          <w:tcPr>
            <w:tcW w:w="241" w:type="pct"/>
            <w:vMerge/>
            <w:vAlign w:val="center"/>
          </w:tcPr>
          <w:p w14:paraId="1E00B158"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BA05158" w14:textId="089F512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.2.2</w:t>
            </w:r>
          </w:p>
        </w:tc>
        <w:tc>
          <w:tcPr>
            <w:tcW w:w="1278" w:type="pct"/>
            <w:gridSpan w:val="2"/>
            <w:vAlign w:val="center"/>
          </w:tcPr>
          <w:p w14:paraId="40C86AD4"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建筑室内外公共区域满足</w:t>
            </w:r>
            <w:proofErr w:type="gramStart"/>
            <w:r w:rsidRPr="00356770">
              <w:rPr>
                <w:rFonts w:asciiTheme="majorEastAsia" w:eastAsiaTheme="majorEastAsia" w:hAnsiTheme="majorEastAsia" w:cstheme="majorEastAsia" w:hint="eastAsia"/>
                <w:color w:val="0D0D0D" w:themeColor="text1" w:themeTint="F2"/>
                <w:szCs w:val="21"/>
              </w:rPr>
              <w:t>全龄化</w:t>
            </w:r>
            <w:proofErr w:type="gramEnd"/>
            <w:r w:rsidRPr="00356770">
              <w:rPr>
                <w:rFonts w:asciiTheme="majorEastAsia" w:eastAsiaTheme="majorEastAsia" w:hAnsiTheme="majorEastAsia" w:cstheme="majorEastAsia" w:hint="eastAsia"/>
                <w:color w:val="0D0D0D" w:themeColor="text1" w:themeTint="F2"/>
                <w:szCs w:val="21"/>
              </w:rPr>
              <w:t>设计要求，</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8分，并按下列规则分别评分并累计。1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建筑室内公共区域、室外公共活动场地及道路均满足无障碍设计要求，得 3分;</w:t>
            </w:r>
          </w:p>
          <w:p w14:paraId="63B71A56"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2建筑室内公共区域的墙、柱等处的阳角均为圆角，并设有</w:t>
            </w:r>
            <w:proofErr w:type="gramStart"/>
            <w:r w:rsidRPr="00356770">
              <w:rPr>
                <w:rFonts w:asciiTheme="majorEastAsia" w:eastAsiaTheme="majorEastAsia" w:hAnsiTheme="majorEastAsia" w:cstheme="majorEastAsia" w:hint="eastAsia"/>
                <w:color w:val="0D0D0D" w:themeColor="text1" w:themeTint="F2"/>
                <w:szCs w:val="21"/>
              </w:rPr>
              <w:t>安全抓杆或</w:t>
            </w:r>
            <w:proofErr w:type="gramEnd"/>
            <w:r w:rsidRPr="00356770">
              <w:rPr>
                <w:rFonts w:asciiTheme="majorEastAsia" w:eastAsiaTheme="majorEastAsia" w:hAnsiTheme="majorEastAsia" w:cstheme="majorEastAsia" w:hint="eastAsia"/>
                <w:color w:val="0D0D0D" w:themeColor="text1" w:themeTint="F2"/>
                <w:szCs w:val="21"/>
              </w:rPr>
              <w:t>扶手，得3分;</w:t>
            </w:r>
          </w:p>
          <w:p w14:paraId="705D5550" w14:textId="027A2E7C"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3设有可容纳担架的无障碍电梯，得 2分</w:t>
            </w:r>
          </w:p>
        </w:tc>
        <w:tc>
          <w:tcPr>
            <w:tcW w:w="1281" w:type="pct"/>
            <w:vAlign w:val="center"/>
          </w:tcPr>
          <w:p w14:paraId="13D55511"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建筑内公共空间形成连续的无障碍通道，不仅能满足老人的使用需求，同时为行为障碍者、推婴儿车、搬运行李的正常人也能从中得到方便。建筑内的公共空间包括出入口、门厅、走廊、楼梯、电梯等，这些公共空间的无障碍设计符合现行国家标准《无障碍设计规范》 GB 50763 中的相关规定，并尽可能实现场内的城市街道、室外活动场所、停车场所、各类建筑出入口和公共交通站点之间等步行系统的无障碍联通。 </w:t>
            </w:r>
          </w:p>
          <w:p w14:paraId="7A2D3661"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 xml:space="preserve">款，建筑的公共区域充分考虑墙面或者易接触面不应有明显棱角或尖锐突出物，保证使用者，特别是行动不便的老人、残疾人、儿童行走安全。 </w:t>
            </w:r>
          </w:p>
          <w:p w14:paraId="479ECEAE" w14:textId="338C12D6"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款，在电梯的设计中，可容纳担架的电梯能保证建筑使用者出现突发病症时，更方便地利用垂直交</w:t>
            </w:r>
            <w:r w:rsidRPr="00356770">
              <w:rPr>
                <w:rFonts w:asciiTheme="majorEastAsia" w:eastAsiaTheme="majorEastAsia" w:hAnsiTheme="majorEastAsia" w:cstheme="majorEastAsia"/>
                <w:color w:val="0D0D0D" w:themeColor="text1" w:themeTint="F2"/>
                <w:szCs w:val="21"/>
              </w:rPr>
              <w:lastRenderedPageBreak/>
              <w:t>通。</w:t>
            </w:r>
          </w:p>
        </w:tc>
        <w:tc>
          <w:tcPr>
            <w:tcW w:w="1010" w:type="pct"/>
            <w:vAlign w:val="center"/>
          </w:tcPr>
          <w:p w14:paraId="326BC35A" w14:textId="01DD13FD"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建筑的公共区域充分考虑墙面或者易接触面不应有明显棱角或尖锐突出物，保证使用者，特别是行动不便的老人、残疾人、儿童行走安全。</w:t>
            </w:r>
          </w:p>
        </w:tc>
        <w:tc>
          <w:tcPr>
            <w:tcW w:w="584" w:type="pct"/>
            <w:vAlign w:val="center"/>
          </w:tcPr>
          <w:p w14:paraId="6B321AE0" w14:textId="0EC0F0DD" w:rsidR="00BF690A" w:rsidRPr="00356770" w:rsidRDefault="00D86C96" w:rsidP="00BF690A">
            <w:pPr>
              <w:jc w:val="center"/>
              <w:rPr>
                <w:rFonts w:asciiTheme="majorEastAsia" w:eastAsiaTheme="majorEastAsia" w:hAnsiTheme="majorEastAsia" w:cstheme="majorEastAsia"/>
                <w:color w:val="0D0D0D" w:themeColor="text1" w:themeTint="F2"/>
                <w:szCs w:val="21"/>
                <w:vertAlign w:val="subscript"/>
              </w:rPr>
            </w:pPr>
            <w:r w:rsidRPr="00356770">
              <w:rPr>
                <w:rFonts w:asciiTheme="majorEastAsia" w:eastAsiaTheme="majorEastAsia" w:hAnsiTheme="majorEastAsia" w:cstheme="majorEastAsia"/>
                <w:color w:val="0D0D0D" w:themeColor="text1" w:themeTint="F2"/>
                <w:szCs w:val="21"/>
              </w:rPr>
              <w:t>4+0</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0</w:t>
            </w:r>
          </w:p>
        </w:tc>
      </w:tr>
      <w:tr w:rsidR="00356770" w:rsidRPr="00356770" w14:paraId="32665682" w14:textId="77777777" w:rsidTr="0038210A">
        <w:trPr>
          <w:trHeight w:val="299"/>
        </w:trPr>
        <w:tc>
          <w:tcPr>
            <w:tcW w:w="241" w:type="pct"/>
            <w:vMerge/>
            <w:vAlign w:val="center"/>
          </w:tcPr>
          <w:p w14:paraId="6F9273BD"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606F04BB" w14:textId="004F3480"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3</w:t>
            </w:r>
          </w:p>
        </w:tc>
        <w:tc>
          <w:tcPr>
            <w:tcW w:w="1278" w:type="pct"/>
            <w:gridSpan w:val="2"/>
            <w:vAlign w:val="center"/>
          </w:tcPr>
          <w:p w14:paraId="0794F30E" w14:textId="5AFEC327" w:rsidR="00BF690A" w:rsidRPr="00356770" w:rsidRDefault="00BF690A" w:rsidP="00BF690A">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提供便利的公服务，</w:t>
            </w:r>
            <w:proofErr w:type="gramStart"/>
            <w:r w:rsidRPr="00356770">
              <w:rPr>
                <w:rFonts w:asciiTheme="majorEastAsia" w:eastAsiaTheme="majorEastAsia" w:hAnsiTheme="majorEastAsia" w:cstheme="majorEastAsia" w:hint="eastAsia"/>
                <w:color w:val="0D0D0D" w:themeColor="text1" w:themeTint="F2"/>
                <w:szCs w:val="21"/>
              </w:rPr>
              <w:t>价总分值</w:t>
            </w:r>
            <w:proofErr w:type="gramEnd"/>
            <w:r w:rsidRPr="00356770">
              <w:rPr>
                <w:rFonts w:asciiTheme="majorEastAsia" w:eastAsiaTheme="majorEastAsia" w:hAnsiTheme="majorEastAsia" w:cstheme="majorEastAsia" w:hint="eastAsia"/>
                <w:color w:val="0D0D0D" w:themeColor="text1" w:themeTint="F2"/>
                <w:szCs w:val="21"/>
              </w:rPr>
              <w:t>为 10 分，并按下列规则评分。</w:t>
            </w:r>
          </w:p>
          <w:p w14:paraId="15FADC57"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住宅建筑，满足下列要求中的 4 项，得5分;满足6 项及以上，得 10 分。</w:t>
            </w:r>
          </w:p>
          <w:p w14:paraId="53E3C1CF"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1)场地出人口到达幼儿园的步行距离不大于 300m;</w:t>
            </w:r>
          </w:p>
          <w:p w14:paraId="638EF19F"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2)场地出口到达小学的步行距离不大于 500m;</w:t>
            </w:r>
          </w:p>
          <w:p w14:paraId="7DD84F47"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3场地出人口到达中学的步行距离不大于 1000m;</w:t>
            </w:r>
          </w:p>
          <w:p w14:paraId="6E6653EC"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4)场地出入口到达医院的步行距离不大于1000m;</w:t>
            </w:r>
          </w:p>
          <w:p w14:paraId="3BBAA98F"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5)场地出入口到达群众文化活动设施的步行距离不大于800m;</w:t>
            </w:r>
          </w:p>
          <w:p w14:paraId="0307B9D4"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场地出入口到达老年人日间照料设施的步行距离不大于500m;</w:t>
            </w:r>
          </w:p>
          <w:p w14:paraId="5A70BC8D"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7)场地周边 500m 范围内具有不少于3种商业服务设施</w:t>
            </w:r>
          </w:p>
          <w:p w14:paraId="31FE5274"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2．公共建筑，满足下列要求中的3项，得5分;满足5项得 10分</w:t>
            </w:r>
          </w:p>
          <w:p w14:paraId="04AE05D5"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1建筑内至少兼容 2种面向会的</w:t>
            </w:r>
            <w:proofErr w:type="gramStart"/>
            <w:r w:rsidRPr="00356770">
              <w:rPr>
                <w:rFonts w:asciiTheme="majorEastAsia" w:eastAsiaTheme="majorEastAsia" w:hAnsiTheme="majorEastAsia" w:cstheme="majorEastAsia" w:hint="eastAsia"/>
                <w:color w:val="0D0D0D" w:themeColor="text1" w:themeTint="F2"/>
                <w:szCs w:val="21"/>
              </w:rPr>
              <w:t>公服务</w:t>
            </w:r>
            <w:proofErr w:type="gramEnd"/>
            <w:r w:rsidRPr="00356770">
              <w:rPr>
                <w:rFonts w:asciiTheme="majorEastAsia" w:eastAsiaTheme="majorEastAsia" w:hAnsiTheme="majorEastAsia" w:cstheme="majorEastAsia" w:hint="eastAsia"/>
                <w:color w:val="0D0D0D" w:themeColor="text1" w:themeTint="F2"/>
                <w:szCs w:val="21"/>
              </w:rPr>
              <w:t>能</w:t>
            </w:r>
          </w:p>
          <w:p w14:paraId="2322801E"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建筑向社会公众提供开放的公共活动空间;</w:t>
            </w:r>
          </w:p>
          <w:p w14:paraId="1E156981" w14:textId="3C435D2C"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3)电动汽车充电桩的车位数占总车位数的比例不低于10%;周边 500m 范围内设有社会公共停车场(库);45场地不封闭或场地内步行公共通道向社会开放</w:t>
            </w:r>
          </w:p>
        </w:tc>
        <w:tc>
          <w:tcPr>
            <w:tcW w:w="1281" w:type="pct"/>
            <w:vAlign w:val="center"/>
          </w:tcPr>
          <w:p w14:paraId="1FBB6F4A"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公共建筑兼容 种及以上主要公共服务功能是指主要服务功能在建筑内部混合布局，如建筑中设有共用的会议设施、展览设施、健身设施、餐饮设施等以及交往空间、休息空间等空间，提供休息座位、家属室、母婴室、活动室等人员停留、沟通交流、 </w:t>
            </w:r>
          </w:p>
          <w:p w14:paraId="74A931A9"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聚集活动等与建筑主要使用功能相适应的公共空间。 </w:t>
            </w:r>
          </w:p>
          <w:p w14:paraId="19E3210D"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公共服务功能设施向社会开放共享的方式也具有多种形式，可以全时开放，也可根据自身使用情况错时开放。例如文化活动中心、图书馆、体育运动场、体育馆等，通过科学管理错时向社 </w:t>
            </w:r>
          </w:p>
          <w:p w14:paraId="367D3F19" w14:textId="39779E8E" w:rsidR="00BF690A" w:rsidRPr="00356770" w:rsidRDefault="00BF690A" w:rsidP="00BF690A">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会公众</w:t>
            </w:r>
            <w:proofErr w:type="gramEnd"/>
            <w:r w:rsidRPr="00356770">
              <w:rPr>
                <w:rFonts w:asciiTheme="majorEastAsia" w:eastAsiaTheme="majorEastAsia" w:hAnsiTheme="majorEastAsia" w:cstheme="majorEastAsia"/>
                <w:color w:val="0D0D0D" w:themeColor="text1" w:themeTint="F2"/>
                <w:szCs w:val="21"/>
              </w:rPr>
              <w:t>开放；办公建筑的室外场地、停车库等在非办公时间向周边居民开放，会议室等向社会开放等。电动汽车充电桩的车位数占总车位数的比例不低于 10%, 是适应电动汽车发展的必要措施。周边 500m 范围内设有社会公共停车场（库），也是对社会设施共享共用、建筑使用者出行便捷性的重要评价内容。</w:t>
            </w:r>
          </w:p>
        </w:tc>
        <w:tc>
          <w:tcPr>
            <w:tcW w:w="1010" w:type="pct"/>
            <w:vAlign w:val="center"/>
          </w:tcPr>
          <w:p w14:paraId="7DEA75A0" w14:textId="59D5023C" w:rsidR="00BF690A" w:rsidRPr="00356770" w:rsidRDefault="00BF690A" w:rsidP="00BF690A">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查阅相关设计文件、位置标识图；评价查阅相关竣工图，投入使用的项目尚应查阅设施向社会共享的实施方案、工作记录等。</w:t>
            </w:r>
          </w:p>
        </w:tc>
        <w:tc>
          <w:tcPr>
            <w:tcW w:w="584" w:type="pct"/>
            <w:vAlign w:val="center"/>
          </w:tcPr>
          <w:p w14:paraId="26AF6945" w14:textId="5BC3942F"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p>
        </w:tc>
      </w:tr>
      <w:tr w:rsidR="00356770" w:rsidRPr="00356770" w14:paraId="17965D61" w14:textId="77777777" w:rsidTr="0038210A">
        <w:trPr>
          <w:trHeight w:val="299"/>
        </w:trPr>
        <w:tc>
          <w:tcPr>
            <w:tcW w:w="241" w:type="pct"/>
            <w:vMerge/>
            <w:vAlign w:val="center"/>
          </w:tcPr>
          <w:p w14:paraId="0A215C44"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CDD5127" w14:textId="33B07DC0"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4</w:t>
            </w:r>
          </w:p>
        </w:tc>
        <w:tc>
          <w:tcPr>
            <w:tcW w:w="1278" w:type="pct"/>
            <w:gridSpan w:val="2"/>
            <w:vAlign w:val="center"/>
          </w:tcPr>
          <w:p w14:paraId="4D94DF0E"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城市绿地、广场及公</w:t>
            </w:r>
            <w:r w:rsidRPr="00356770">
              <w:rPr>
                <w:rFonts w:asciiTheme="majorEastAsia" w:eastAsiaTheme="majorEastAsia" w:hAnsiTheme="majorEastAsia" w:cstheme="majorEastAsia" w:hint="eastAsia"/>
                <w:color w:val="0D0D0D" w:themeColor="text1" w:themeTint="F2"/>
                <w:szCs w:val="21"/>
              </w:rPr>
              <w:lastRenderedPageBreak/>
              <w:t>共运动场地等开敞空间，步行可达</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5 分，并按下列规则分别评分并累计。1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场地出入口到达城市公园绿地、居住区公园、广场的步行距离不大于 300m，得3分;</w:t>
            </w:r>
          </w:p>
          <w:p w14:paraId="117F24B4" w14:textId="633E0D00"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到达中型多功能运动场地的步行距离不大于 500m，得2分。</w:t>
            </w:r>
          </w:p>
        </w:tc>
        <w:tc>
          <w:tcPr>
            <w:tcW w:w="1281" w:type="pct"/>
            <w:vAlign w:val="center"/>
          </w:tcPr>
          <w:p w14:paraId="3D0A7538"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建筑以主要出入口步</w:t>
            </w:r>
            <w:r w:rsidRPr="00356770">
              <w:rPr>
                <w:rFonts w:asciiTheme="majorEastAsia" w:eastAsiaTheme="majorEastAsia" w:hAnsiTheme="majorEastAsia" w:cstheme="majorEastAsia"/>
                <w:color w:val="0D0D0D" w:themeColor="text1" w:themeTint="F2"/>
                <w:szCs w:val="21"/>
              </w:rPr>
              <w:lastRenderedPageBreak/>
              <w:t>行 300m 即可到达任何</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个城市公园绿地、城市广场进行得分评价，其中住宅建筑还包括居住区公园；</w:t>
            </w:r>
          </w:p>
          <w:p w14:paraId="55AFD792" w14:textId="553FB1B2"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款，提出步行 500m 应能够到达</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处中型多功能运动场地（大约 1300m2~2500m2, 集中设置了篮球、排球、足球的运动场地），或是其他对外开放的专用运动场，如学校对外开放的运动场。符合《中共中央国务院关于进一步加强城市规划建设管理工作的若干意见》提出的“合理规划建设广场、公园、步行道等公共活动空间，方便居民文体活动，促进居民交流。强化绿地服务群众日常活动的功能，使市民在居家和工作附近能够见到绿地、亲近绿地”的要求。</w:t>
            </w:r>
          </w:p>
        </w:tc>
        <w:tc>
          <w:tcPr>
            <w:tcW w:w="1010" w:type="pct"/>
            <w:vAlign w:val="center"/>
          </w:tcPr>
          <w:p w14:paraId="55EDCF22" w14:textId="7918A77D" w:rsidR="00BF690A" w:rsidRPr="00356770" w:rsidRDefault="00BF690A" w:rsidP="00BF690A">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w:t>
            </w:r>
            <w:r w:rsidRPr="00356770">
              <w:rPr>
                <w:rFonts w:asciiTheme="majorEastAsia" w:eastAsiaTheme="majorEastAsia" w:hAnsiTheme="majorEastAsia" w:cstheme="majorEastAsia"/>
                <w:color w:val="0D0D0D" w:themeColor="text1" w:themeTint="F2"/>
                <w:szCs w:val="21"/>
              </w:rPr>
              <w:lastRenderedPageBreak/>
              <w:t>设计文件、位置标识图；评价查阅相关竣图。</w:t>
            </w:r>
          </w:p>
        </w:tc>
        <w:tc>
          <w:tcPr>
            <w:tcW w:w="584" w:type="pct"/>
            <w:vAlign w:val="center"/>
          </w:tcPr>
          <w:p w14:paraId="1F30360D" w14:textId="5D0038D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3</w:t>
            </w:r>
            <w:r w:rsidR="00D86C96" w:rsidRPr="00356770">
              <w:rPr>
                <w:rFonts w:asciiTheme="majorEastAsia" w:eastAsiaTheme="majorEastAsia" w:hAnsiTheme="majorEastAsia" w:cstheme="majorEastAsia"/>
                <w:color w:val="0D0D0D" w:themeColor="text1" w:themeTint="F2"/>
                <w:szCs w:val="21"/>
              </w:rPr>
              <w:t>+</w:t>
            </w:r>
            <w:r w:rsidR="00D86C96" w:rsidRPr="00356770">
              <w:rPr>
                <w:rFonts w:asciiTheme="majorEastAsia" w:eastAsiaTheme="majorEastAsia" w:hAnsiTheme="majorEastAsia" w:cstheme="majorEastAsia"/>
                <w:color w:val="0D0D0D" w:themeColor="text1" w:themeTint="F2"/>
                <w:szCs w:val="21"/>
              </w:rPr>
              <w:t>2</w:t>
            </w:r>
          </w:p>
        </w:tc>
      </w:tr>
      <w:tr w:rsidR="00356770" w:rsidRPr="00356770" w14:paraId="07FA586E" w14:textId="77777777" w:rsidTr="0038210A">
        <w:trPr>
          <w:trHeight w:val="299"/>
        </w:trPr>
        <w:tc>
          <w:tcPr>
            <w:tcW w:w="241" w:type="pct"/>
            <w:vMerge/>
            <w:vAlign w:val="center"/>
          </w:tcPr>
          <w:p w14:paraId="19E209F9"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0FA5499C" w14:textId="47A6C958"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5</w:t>
            </w:r>
          </w:p>
        </w:tc>
        <w:tc>
          <w:tcPr>
            <w:tcW w:w="1278" w:type="pct"/>
            <w:gridSpan w:val="2"/>
            <w:vAlign w:val="center"/>
          </w:tcPr>
          <w:p w14:paraId="70E966FE" w14:textId="77777777"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合理设置健身场地和空间，</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10 分，并按下列规则分别评分并累计:</w:t>
            </w:r>
          </w:p>
          <w:p w14:paraId="6F6C7772"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室外健身场地面积不少于总用地面积的 0.5%，得3分;</w:t>
            </w:r>
          </w:p>
          <w:p w14:paraId="2F2F3CFD"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设置宽度不少于 1.25m 的专用健身慢行道，健身慢行道长度不少于用地红线周长的 1/4 且不少于 100m，得 2分;</w:t>
            </w:r>
          </w:p>
          <w:p w14:paraId="42437107"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3．室内健身空间的面积不少于地上建筑面积的 03%且不少于60m，得3分;</w:t>
            </w:r>
          </w:p>
          <w:p w14:paraId="5305A955" w14:textId="3053FF72"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4．楼梯间具有天然采光和良好的视野，且距离主入口的距离不大于15m，得2分。</w:t>
            </w:r>
          </w:p>
        </w:tc>
        <w:tc>
          <w:tcPr>
            <w:tcW w:w="1281" w:type="pct"/>
            <w:vAlign w:val="center"/>
          </w:tcPr>
          <w:p w14:paraId="0790D707"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第1款，</w:t>
            </w:r>
            <w:r w:rsidRPr="00356770">
              <w:rPr>
                <w:rFonts w:asciiTheme="majorEastAsia" w:eastAsiaTheme="majorEastAsia" w:hAnsiTheme="majorEastAsia" w:cstheme="majorEastAsia"/>
                <w:color w:val="0D0D0D" w:themeColor="text1" w:themeTint="F2"/>
                <w:szCs w:val="21"/>
              </w:rPr>
              <w:t>要求设置集中的室外健身活动区。健身场地的设置位置应避免噪声扰民，并根据运动类型设置适当的隔声措施；健身场地设置应进行</w:t>
            </w:r>
            <w:proofErr w:type="gramStart"/>
            <w:r w:rsidRPr="00356770">
              <w:rPr>
                <w:rFonts w:asciiTheme="majorEastAsia" w:eastAsiaTheme="majorEastAsia" w:hAnsiTheme="majorEastAsia" w:cstheme="majorEastAsia"/>
                <w:color w:val="0D0D0D" w:themeColor="text1" w:themeTint="F2"/>
                <w:szCs w:val="21"/>
              </w:rPr>
              <w:t>全龄化</w:t>
            </w:r>
            <w:proofErr w:type="gramEnd"/>
            <w:r w:rsidRPr="00356770">
              <w:rPr>
                <w:rFonts w:asciiTheme="majorEastAsia" w:eastAsiaTheme="majorEastAsia" w:hAnsiTheme="majorEastAsia" w:cstheme="majorEastAsia"/>
                <w:color w:val="0D0D0D" w:themeColor="text1" w:themeTint="F2"/>
                <w:szCs w:val="21"/>
              </w:rPr>
              <w:t xml:space="preserve">的设计，满足各年龄段人群的室外活动要求。 </w:t>
            </w:r>
          </w:p>
          <w:p w14:paraId="5A95E775"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款，健身慢行道是指在场地内设置的供人们进行行走、慢跑的专门道路。健身慢行道应尽可能避免与场地内车行道交叉，步道宜采用弹性减振、防滑和环保的材料，如塑胶、</w:t>
            </w:r>
            <w:r w:rsidRPr="00356770">
              <w:rPr>
                <w:rFonts w:asciiTheme="majorEastAsia" w:eastAsiaTheme="majorEastAsia" w:hAnsiTheme="majorEastAsia" w:cstheme="majorEastAsia"/>
                <w:color w:val="0D0D0D" w:themeColor="text1" w:themeTint="F2"/>
                <w:szCs w:val="21"/>
              </w:rPr>
              <w:lastRenderedPageBreak/>
              <w:t xml:space="preserve">彩色陶粒等。步道宽度不少于1. 25m, 源自原建设部以及原国土资源部 </w:t>
            </w:r>
          </w:p>
          <w:p w14:paraId="43DD4B05"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联合发布的《城市社区体育设施建设用地指标》的要求。 </w:t>
            </w:r>
          </w:p>
          <w:p w14:paraId="1B93DEA7"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 xml:space="preserve">款，鼓励建筑或社区中可设置健身房，或利用公共空间（如小区会所、入口大堂、休闲平台、共享空间等）设置健身区，配置一些健身器材，提供给人们全天候进行健身活动的条件，鼓励积极健康的生活方式。健康空间还包括开放共享的羽毛球室、乒乓球室。 </w:t>
            </w:r>
          </w:p>
          <w:p w14:paraId="1B3DFC8B" w14:textId="12D16C5C"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第4</w:t>
            </w:r>
            <w:r w:rsidRPr="00356770">
              <w:rPr>
                <w:rFonts w:asciiTheme="majorEastAsia" w:eastAsiaTheme="majorEastAsia" w:hAnsiTheme="majorEastAsia" w:cstheme="majorEastAsia"/>
                <w:color w:val="0D0D0D" w:themeColor="text1" w:themeTint="F2"/>
                <w:szCs w:val="21"/>
              </w:rPr>
              <w:t>款，鼓励将楼梯设置在靠近主入口的地方。楼梯间内有天然采光、有良好的视野和人体感应灯，可以提高楼梯间锻炼的舒适度。</w:t>
            </w:r>
          </w:p>
        </w:tc>
        <w:tc>
          <w:tcPr>
            <w:tcW w:w="1010" w:type="pct"/>
            <w:vAlign w:val="center"/>
          </w:tcPr>
          <w:p w14:paraId="340E3218" w14:textId="084212C2" w:rsidR="00BF690A" w:rsidRPr="00356770" w:rsidRDefault="00BF690A" w:rsidP="00BF690A">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查阅相关设计文件、场地布置图，产品说明书；评价查阅相关竣工图、产品说明书。</w:t>
            </w:r>
          </w:p>
        </w:tc>
        <w:tc>
          <w:tcPr>
            <w:tcW w:w="584" w:type="pct"/>
            <w:vAlign w:val="center"/>
          </w:tcPr>
          <w:p w14:paraId="1FA49524" w14:textId="7754A6DD"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w:t>
            </w:r>
            <w:r w:rsidR="00D86C96" w:rsidRPr="00356770">
              <w:rPr>
                <w:rFonts w:asciiTheme="majorEastAsia" w:eastAsiaTheme="majorEastAsia" w:hAnsiTheme="majorEastAsia" w:cstheme="majorEastAsia"/>
                <w:color w:val="0D0D0D" w:themeColor="text1" w:themeTint="F2"/>
                <w:szCs w:val="21"/>
              </w:rPr>
              <w:t>3</w:t>
            </w:r>
            <w:r w:rsidR="00D86C96"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p>
        </w:tc>
      </w:tr>
      <w:tr w:rsidR="00356770" w:rsidRPr="00356770" w14:paraId="5C4C1924" w14:textId="77777777" w:rsidTr="0038210A">
        <w:trPr>
          <w:trHeight w:val="299"/>
        </w:trPr>
        <w:tc>
          <w:tcPr>
            <w:tcW w:w="241" w:type="pct"/>
            <w:vMerge/>
            <w:vAlign w:val="center"/>
          </w:tcPr>
          <w:p w14:paraId="0B740460"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CD89B6E" w14:textId="2B97F526"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6</w:t>
            </w:r>
          </w:p>
        </w:tc>
        <w:tc>
          <w:tcPr>
            <w:tcW w:w="1278" w:type="pct"/>
            <w:gridSpan w:val="2"/>
            <w:vAlign w:val="center"/>
          </w:tcPr>
          <w:p w14:paraId="1CCFD2E2" w14:textId="0EB5283F"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设置分类、分级用能自动远传计量系统，且设置能源管理系统实现对建筑能耗的监测、数据分析和管理，评价分值为8分。</w:t>
            </w:r>
          </w:p>
        </w:tc>
        <w:tc>
          <w:tcPr>
            <w:tcW w:w="1281" w:type="pct"/>
            <w:vAlign w:val="center"/>
          </w:tcPr>
          <w:p w14:paraId="0736C809"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要求设置电、气、热的能耗计量系统和能源管理系统。计量系统是实现运行节能、优化系统设置的基础条件，能源管理系统使建筑能耗可知、可见、可控，从而达到优化运行、降低消 </w:t>
            </w:r>
          </w:p>
          <w:p w14:paraId="6BD9EEC2" w14:textId="5BA4C71A"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耗的目的。冷热源、输配系统和电气等各部分能源应进行独立分项计量，并能实现远传，其中冷热源、输配系统的主要设备包括冷热水机组、冷热水泵、新风机组、空气处理机组、冷却塔等，电气系统包括照明、插座、动力</w:t>
            </w:r>
            <w:r w:rsidRPr="00356770">
              <w:rPr>
                <w:rFonts w:asciiTheme="majorEastAsia" w:eastAsiaTheme="majorEastAsia" w:hAnsiTheme="majorEastAsia" w:cstheme="majorEastAsia"/>
                <w:color w:val="0D0D0D" w:themeColor="text1" w:themeTint="F2"/>
                <w:szCs w:val="21"/>
              </w:rPr>
              <w:lastRenderedPageBreak/>
              <w:t>等。</w:t>
            </w:r>
          </w:p>
        </w:tc>
        <w:tc>
          <w:tcPr>
            <w:tcW w:w="1010" w:type="pct"/>
            <w:vAlign w:val="center"/>
          </w:tcPr>
          <w:p w14:paraId="5C02C99E" w14:textId="77777777" w:rsidR="00BF690A" w:rsidRPr="00356770" w:rsidRDefault="00BF690A" w:rsidP="00BF690A">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查阅相关设计文件（能源系统设计图纸、能源管理系统配置等）；评价查阅相关竣工图、产品型 </w:t>
            </w:r>
          </w:p>
          <w:p w14:paraId="22A96D55" w14:textId="71FD869D"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式检验报告，投入使用的项目尚应查阅管理制度、历史监测数据、运行记录。</w:t>
            </w:r>
          </w:p>
        </w:tc>
        <w:tc>
          <w:tcPr>
            <w:tcW w:w="584" w:type="pct"/>
            <w:vAlign w:val="center"/>
          </w:tcPr>
          <w:p w14:paraId="58D41C3C" w14:textId="5C5BD489" w:rsidR="00BF690A" w:rsidRPr="00356770" w:rsidRDefault="00D86C96"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p>
        </w:tc>
      </w:tr>
      <w:tr w:rsidR="00356770" w:rsidRPr="00356770" w14:paraId="78945AE5" w14:textId="77777777" w:rsidTr="0038210A">
        <w:trPr>
          <w:trHeight w:val="299"/>
        </w:trPr>
        <w:tc>
          <w:tcPr>
            <w:tcW w:w="241" w:type="pct"/>
            <w:vMerge/>
            <w:vAlign w:val="center"/>
          </w:tcPr>
          <w:p w14:paraId="78062FFD"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06BF95E" w14:textId="65EB30AA"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7</w:t>
            </w:r>
          </w:p>
        </w:tc>
        <w:tc>
          <w:tcPr>
            <w:tcW w:w="1278" w:type="pct"/>
            <w:gridSpan w:val="2"/>
            <w:vAlign w:val="center"/>
          </w:tcPr>
          <w:p w14:paraId="4E9EF062" w14:textId="2E68DEF6" w:rsidR="00BF690A" w:rsidRPr="00356770" w:rsidRDefault="00BF690A" w:rsidP="00BF690A">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设置</w:t>
            </w:r>
            <w:proofErr w:type="spellStart"/>
            <w:r w:rsidRPr="00356770">
              <w:rPr>
                <w:rFonts w:asciiTheme="majorEastAsia" w:eastAsiaTheme="majorEastAsia" w:hAnsiTheme="majorEastAsia" w:cstheme="majorEastAsia" w:hint="eastAsia"/>
                <w:color w:val="0D0D0D" w:themeColor="text1" w:themeTint="F2"/>
                <w:szCs w:val="21"/>
              </w:rPr>
              <w:t>PMio</w:t>
            </w:r>
            <w:proofErr w:type="spellEnd"/>
            <w:r w:rsidRPr="00356770">
              <w:rPr>
                <w:rFonts w:asciiTheme="majorEastAsia" w:eastAsiaTheme="majorEastAsia" w:hAnsiTheme="majorEastAsia" w:cstheme="majorEastAsia" w:hint="eastAsia"/>
                <w:color w:val="0D0D0D" w:themeColor="text1" w:themeTint="F2"/>
                <w:szCs w:val="21"/>
              </w:rPr>
              <w:t>、PM2.5、CO浓度的空气质量监测系统，且具有存储至少一年的监测数据和实时显示等功能，评价分值为</w:t>
            </w:r>
          </w:p>
          <w:p w14:paraId="694A59BF" w14:textId="4278C6A1"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5分。</w:t>
            </w:r>
          </w:p>
        </w:tc>
        <w:tc>
          <w:tcPr>
            <w:tcW w:w="1281" w:type="pct"/>
            <w:vAlign w:val="center"/>
          </w:tcPr>
          <w:p w14:paraId="5B77155F"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旨在引导保持理想的室内空气质量指标，必须不断收集建筑室内空气 </w:t>
            </w:r>
          </w:p>
          <w:p w14:paraId="6461E2FB" w14:textId="027BD10E"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质量测试数据。空气污染物传感装置和智能化技术的完善普及，使对建筑内空气污染物的实时采集监测成为可能。当所监测的空气质量偏离</w:t>
            </w:r>
            <w:proofErr w:type="gramStart"/>
            <w:r w:rsidRPr="00356770">
              <w:rPr>
                <w:rFonts w:asciiTheme="majorEastAsia" w:eastAsiaTheme="majorEastAsia" w:hAnsiTheme="majorEastAsia" w:cstheme="majorEastAsia"/>
                <w:color w:val="0D0D0D" w:themeColor="text1" w:themeTint="F2"/>
                <w:szCs w:val="21"/>
              </w:rPr>
              <w:t>理想阙值时</w:t>
            </w:r>
            <w:proofErr w:type="gramEnd"/>
            <w:r w:rsidRPr="00356770">
              <w:rPr>
                <w:rFonts w:asciiTheme="majorEastAsia" w:eastAsiaTheme="majorEastAsia" w:hAnsiTheme="majorEastAsia" w:cstheme="majorEastAsia"/>
                <w:color w:val="0D0D0D" w:themeColor="text1" w:themeTint="F2"/>
                <w:szCs w:val="21"/>
              </w:rPr>
              <w:t>，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本条文要求对千安装监控系统的建筑，系统至少对PM10 PM2.s CO2 分别进行定时连续测量、显示、记录和数据传输，监测系统对污染物浓度的读数时间间隔不得长于</w:t>
            </w:r>
            <w:proofErr w:type="spellStart"/>
            <w:r w:rsidRPr="00356770">
              <w:rPr>
                <w:rFonts w:asciiTheme="majorEastAsia" w:eastAsiaTheme="majorEastAsia" w:hAnsiTheme="majorEastAsia" w:cstheme="majorEastAsia"/>
                <w:color w:val="0D0D0D" w:themeColor="text1" w:themeTint="F2"/>
                <w:szCs w:val="21"/>
              </w:rPr>
              <w:t>lOmin</w:t>
            </w:r>
            <w:proofErr w:type="spellEnd"/>
            <w:r w:rsidRPr="00356770">
              <w:rPr>
                <w:rFonts w:asciiTheme="majorEastAsia" w:eastAsiaTheme="majorEastAsia" w:hAnsiTheme="majorEastAsia" w:cstheme="majorEastAsia" w:hint="eastAsia"/>
                <w:color w:val="0D0D0D" w:themeColor="text1" w:themeTint="F2"/>
                <w:szCs w:val="21"/>
              </w:rPr>
              <w:t>。</w:t>
            </w:r>
          </w:p>
        </w:tc>
        <w:tc>
          <w:tcPr>
            <w:tcW w:w="1010" w:type="pct"/>
            <w:vAlign w:val="center"/>
          </w:tcPr>
          <w:p w14:paraId="1A4D94EC" w14:textId="0A52AC0C" w:rsidR="00BF690A" w:rsidRPr="00356770" w:rsidRDefault="00BF690A" w:rsidP="00BF690A">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查阅相关设计文件（监测系统设计图纸、点位图等）；评价查阅相关竣工图、产品型式检验报告， 投入使用的项目尚应查阅管理制度、历史监测数据、运行记录。 </w:t>
            </w:r>
          </w:p>
        </w:tc>
        <w:tc>
          <w:tcPr>
            <w:tcW w:w="584" w:type="pct"/>
            <w:vAlign w:val="center"/>
          </w:tcPr>
          <w:p w14:paraId="2D56DE21" w14:textId="69DCDA16" w:rsidR="00BF690A" w:rsidRPr="00356770" w:rsidRDefault="00D86C96"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5</w:t>
            </w:r>
          </w:p>
        </w:tc>
      </w:tr>
      <w:tr w:rsidR="00356770" w:rsidRPr="00356770" w14:paraId="1B121AED" w14:textId="77777777" w:rsidTr="0038210A">
        <w:trPr>
          <w:trHeight w:val="299"/>
        </w:trPr>
        <w:tc>
          <w:tcPr>
            <w:tcW w:w="241" w:type="pct"/>
            <w:vMerge/>
            <w:vAlign w:val="center"/>
          </w:tcPr>
          <w:p w14:paraId="734AED83"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C869F12" w14:textId="2365F4A2"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8</w:t>
            </w:r>
          </w:p>
        </w:tc>
        <w:tc>
          <w:tcPr>
            <w:tcW w:w="1278" w:type="pct"/>
            <w:gridSpan w:val="2"/>
            <w:vAlign w:val="center"/>
          </w:tcPr>
          <w:p w14:paraId="32280580" w14:textId="05F5BD7B"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设置用水远传计量系统、水质在线监测系统，</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7分，并按下列规则分别评分并累计。1．设置用水量远传计量系统，能分类、分级记录、统计分析各种用水情况，得 3分;</w:t>
            </w:r>
          </w:p>
          <w:p w14:paraId="4467D7C4"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2．利用计量数据进行管网漏损自动检测、分析与整改，管道漏损率低于5%，得2分;</w:t>
            </w:r>
          </w:p>
          <w:p w14:paraId="73913F57" w14:textId="5ECD52FE"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3．设置水质在线监测系统，监测生活饮用水、管道直饮水游泳池水、非传统水源、空调冷却水的水质指标，记录并保存水质监测结果，且能随时供用户查询，得 2 分。</w:t>
            </w:r>
          </w:p>
        </w:tc>
        <w:tc>
          <w:tcPr>
            <w:tcW w:w="1281" w:type="pct"/>
            <w:vAlign w:val="center"/>
          </w:tcPr>
          <w:p w14:paraId="630FBD02"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 xml:space="preserve">款，采用远传计量系统对各类用水进行计量，可准确掌握项目用水现状，如水系管网分布情况，各类用水设备、设施、仪器、仪表分布及运转状态，用水总量和各用水单元之间的定量关系，找出薄弱环节和节水潜力，制定出切实可行的节水管理措施和规划。 </w:t>
            </w:r>
          </w:p>
          <w:p w14:paraId="6DD2D509"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款，远传水表可以</w:t>
            </w:r>
            <w:r w:rsidRPr="00356770">
              <w:rPr>
                <w:rFonts w:asciiTheme="majorEastAsia" w:eastAsiaTheme="majorEastAsia" w:hAnsiTheme="majorEastAsia" w:cstheme="majorEastAsia"/>
                <w:color w:val="0D0D0D" w:themeColor="text1" w:themeTint="F2"/>
                <w:szCs w:val="21"/>
              </w:rPr>
              <w:lastRenderedPageBreak/>
              <w:t xml:space="preserve">实时的将用水量数据上传给管理系统。远传水表应根据水平衡测试的要求分级安装。物业管理方应通过远传水表的数据进行管道漏损情况检测，随时了解管道漏损情况，及时查找漏损点并进行整改。 </w:t>
            </w:r>
          </w:p>
          <w:p w14:paraId="2637E996" w14:textId="4C43ACE9"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款，建筑中设有的各类供水系统均设置了在线监测系统，第 款方可得分。根据相应水质标准规范要求，可选择对浊度、余氯、 pH 值、电导率 CTDS) 等指标进行监测，例如管道直饮水可不监测浊度、余氯，对终端直饮水设备没有在线监测的要求。对建筑内各类水质实施在线监测，能够帮助物业管理部门随时掌握水质指标状况，及时发现水质异常变化并采取有效措施。水质在线监测系统应有报警记录功能，其存储介质和数据库应能记录连续一年以上的运行数据，且能随时供用户查询。水质监测的关键性位置和代表性测点包括：水源、水处理设施出水及最不利用水点。</w:t>
            </w:r>
          </w:p>
        </w:tc>
        <w:tc>
          <w:tcPr>
            <w:tcW w:w="1010" w:type="pct"/>
            <w:vAlign w:val="center"/>
          </w:tcPr>
          <w:p w14:paraId="0F07A8B8" w14:textId="77777777" w:rsidR="00BF690A" w:rsidRPr="00356770" w:rsidRDefault="00BF690A" w:rsidP="00BF690A">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查阅相关设计文件（含远传计量系统设置说明、分级水表设置示意图、水质监测点位说明、设置 </w:t>
            </w:r>
          </w:p>
          <w:p w14:paraId="4A08F86F" w14:textId="33E04BB3"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示意图等）；评价查阅相关竣工图（含远传计量系统设置说明、分级水表设置示意图、水质监测点位说明、设置示</w:t>
            </w:r>
            <w:r w:rsidRPr="00356770">
              <w:rPr>
                <w:rFonts w:asciiTheme="majorEastAsia" w:eastAsiaTheme="majorEastAsia" w:hAnsiTheme="majorEastAsia" w:cstheme="majorEastAsia"/>
                <w:color w:val="0D0D0D" w:themeColor="text1" w:themeTint="F2"/>
                <w:szCs w:val="21"/>
              </w:rPr>
              <w:lastRenderedPageBreak/>
              <w:t>意图等）、监测与发布系统设计说明，投入使用的项目尚应查阅漏损检测管理制度（或漏损检测、分析及整改情况报告）、水质监测管理制度 （或水质监测记录）。</w:t>
            </w:r>
          </w:p>
        </w:tc>
        <w:tc>
          <w:tcPr>
            <w:tcW w:w="584" w:type="pct"/>
            <w:vAlign w:val="center"/>
          </w:tcPr>
          <w:p w14:paraId="552F851A" w14:textId="3EC4D5FD"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0</w:t>
            </w:r>
          </w:p>
        </w:tc>
      </w:tr>
      <w:tr w:rsidR="00356770" w:rsidRPr="00356770" w14:paraId="5A11D007" w14:textId="77777777" w:rsidTr="0038210A">
        <w:trPr>
          <w:trHeight w:val="299"/>
        </w:trPr>
        <w:tc>
          <w:tcPr>
            <w:tcW w:w="241" w:type="pct"/>
            <w:vMerge/>
            <w:vAlign w:val="center"/>
          </w:tcPr>
          <w:p w14:paraId="360FF17F"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CB075B9" w14:textId="112B0A50"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9</w:t>
            </w:r>
          </w:p>
        </w:tc>
        <w:tc>
          <w:tcPr>
            <w:tcW w:w="1278" w:type="pct"/>
            <w:gridSpan w:val="2"/>
            <w:vAlign w:val="center"/>
          </w:tcPr>
          <w:p w14:paraId="10415026"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具有智能化服务系统，</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为9分，并按下列规则分别评分并累计。1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具有家电控制、照明控制、安全报警、环境监测、建筑设备控</w:t>
            </w:r>
            <w:r w:rsidRPr="00356770">
              <w:rPr>
                <w:rFonts w:asciiTheme="majorEastAsia" w:eastAsiaTheme="majorEastAsia" w:hAnsiTheme="majorEastAsia" w:cstheme="majorEastAsia" w:hint="eastAsia"/>
                <w:color w:val="0D0D0D" w:themeColor="text1" w:themeTint="F2"/>
                <w:szCs w:val="21"/>
              </w:rPr>
              <w:lastRenderedPageBreak/>
              <w:t>制、工作生活服务等至少 3 种类型的服务功能，得3分;</w:t>
            </w:r>
          </w:p>
          <w:p w14:paraId="34AC7D60"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2．具有远程监控的功能，得 3 分;</w:t>
            </w:r>
          </w:p>
          <w:p w14:paraId="38A0F2DB" w14:textId="58528EDC"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具有接人智慧城市(城区、社区) 的功能，得3 分。</w:t>
            </w:r>
          </w:p>
        </w:tc>
        <w:tc>
          <w:tcPr>
            <w:tcW w:w="1281" w:type="pct"/>
            <w:vAlign w:val="center"/>
          </w:tcPr>
          <w:p w14:paraId="5B4D3D2F"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款，智能化服务系统包括智能家居监控服务系统或智能环境设备监控服务系统，具体包括家电控制、照明控制、安全报警、环境监测、建筑设备控制、</w:t>
            </w:r>
            <w:r w:rsidRPr="00356770">
              <w:rPr>
                <w:rFonts w:asciiTheme="majorEastAsia" w:eastAsiaTheme="majorEastAsia" w:hAnsiTheme="majorEastAsia" w:cstheme="majorEastAsia"/>
                <w:color w:val="0D0D0D" w:themeColor="text1" w:themeTint="F2"/>
                <w:szCs w:val="21"/>
              </w:rPr>
              <w:lastRenderedPageBreak/>
              <w:t xml:space="preserve">工作生活服务（如养老服务预约、会议预约）等系统与平台。控制方式包括电话或网络远程控制、室内外遥控、红外转发以及可编程定时控制等。智能家居监控系统或智能环境设备监控系统是以相对独立的使用空间为单元，利用综合布线技术、网络通信技术、自动控制技术、音视频技术等将家居生活或工作事务有关的设施进行集成，构建高效的建筑设施与日常事务的管理系统，提升家居和工作的安全性、便利性、舒适性、艺术性，实现更加便捷适用的生活和工作环境，提高用户对绿色建筑的感知度。 </w:t>
            </w:r>
          </w:p>
          <w:p w14:paraId="3D312C69"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 xml:space="preserve">款，智能化服务系统具备远程监控功能，使用者可通过以太网、移动数据网络等，实现对建筑室内物理环境状况、设备设施状态的监测，以及对智能家居或环境设备系统的控制、对工作生活服务平台的访问操作，从而可以有效提升服务便捷性。 </w:t>
            </w:r>
          </w:p>
          <w:p w14:paraId="2281870C"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款，智能化服务系统如果仅由物业管理单位来管理和维护的话，其信息更新与扩充的速度和范围一般会受到局限，如果智能化服务平台能够与所在的智慧城市（城区、社区）平台对接，则可有效实现信息和数据的</w:t>
            </w:r>
            <w:r w:rsidRPr="00356770">
              <w:rPr>
                <w:rFonts w:asciiTheme="majorEastAsia" w:eastAsiaTheme="majorEastAsia" w:hAnsiTheme="majorEastAsia" w:cstheme="majorEastAsia"/>
                <w:color w:val="0D0D0D" w:themeColor="text1" w:themeTint="F2"/>
                <w:szCs w:val="21"/>
              </w:rPr>
              <w:lastRenderedPageBreak/>
              <w:t xml:space="preserve">共享与互通，实现相关各方的互 </w:t>
            </w:r>
          </w:p>
          <w:p w14:paraId="11917B53" w14:textId="5E269519"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惠互利。智慧城市（城区、社区）的智能化服务系统的基本项目一般包括智慧物业管理、电子商务服务、智慧养老服务、智慧家居、智慧医院等。</w:t>
            </w:r>
          </w:p>
        </w:tc>
        <w:tc>
          <w:tcPr>
            <w:tcW w:w="1010" w:type="pct"/>
            <w:vAlign w:val="center"/>
          </w:tcPr>
          <w:p w14:paraId="20521B16" w14:textId="77777777" w:rsidR="00BF690A" w:rsidRPr="00356770" w:rsidRDefault="00BF690A" w:rsidP="00BF690A">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查阅相关设计文件（智能家居或环境设备监控系统设计方案、智能化服务平台方案、相关智能化 </w:t>
            </w:r>
          </w:p>
          <w:p w14:paraId="08E5DC1C"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设计图纸、装修图</w:t>
            </w:r>
            <w:r w:rsidRPr="00356770">
              <w:rPr>
                <w:rFonts w:asciiTheme="majorEastAsia" w:eastAsiaTheme="majorEastAsia" w:hAnsiTheme="majorEastAsia" w:cstheme="majorEastAsia"/>
                <w:color w:val="0D0D0D" w:themeColor="text1" w:themeTint="F2"/>
                <w:szCs w:val="21"/>
              </w:rPr>
              <w:lastRenderedPageBreak/>
              <w:t xml:space="preserve">纸）；评价查阅相关竣工图、产品型式检验报告，投入使用的项目尚应查阅管理制度、历史监测数据、运行 </w:t>
            </w:r>
          </w:p>
          <w:p w14:paraId="1534E8BC" w14:textId="7539CBBA"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记录。</w:t>
            </w:r>
          </w:p>
        </w:tc>
        <w:tc>
          <w:tcPr>
            <w:tcW w:w="584" w:type="pct"/>
            <w:vAlign w:val="center"/>
          </w:tcPr>
          <w:p w14:paraId="29D13603" w14:textId="45498931"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3</w:t>
            </w:r>
            <w:r w:rsidRPr="00356770">
              <w:rPr>
                <w:rFonts w:asciiTheme="majorEastAsia" w:eastAsiaTheme="majorEastAsia" w:hAnsiTheme="majorEastAsia" w:cstheme="majorEastAsia"/>
                <w:color w:val="0D0D0D" w:themeColor="text1" w:themeTint="F2"/>
                <w:szCs w:val="21"/>
              </w:rPr>
              <w:t>+3+3</w:t>
            </w:r>
          </w:p>
        </w:tc>
      </w:tr>
      <w:tr w:rsidR="00356770" w:rsidRPr="00356770" w14:paraId="51ECB458" w14:textId="77777777" w:rsidTr="0038210A">
        <w:trPr>
          <w:trHeight w:val="299"/>
        </w:trPr>
        <w:tc>
          <w:tcPr>
            <w:tcW w:w="241" w:type="pct"/>
            <w:vMerge/>
            <w:vAlign w:val="center"/>
          </w:tcPr>
          <w:p w14:paraId="242E1446"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6CC9880" w14:textId="530D5953"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10</w:t>
            </w:r>
          </w:p>
        </w:tc>
        <w:tc>
          <w:tcPr>
            <w:tcW w:w="1278" w:type="pct"/>
            <w:gridSpan w:val="2"/>
            <w:vAlign w:val="center"/>
          </w:tcPr>
          <w:p w14:paraId="018E74EB"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相关设施具有完善的操作规程和应急预案，得 2分</w:t>
            </w:r>
          </w:p>
          <w:p w14:paraId="42031C86" w14:textId="512801BC"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2．物业管理机构的工作考核体系中包含节能和节水绩效考核激励机制，得3分。</w:t>
            </w:r>
          </w:p>
        </w:tc>
        <w:tc>
          <w:tcPr>
            <w:tcW w:w="1281" w:type="pct"/>
            <w:vAlign w:val="center"/>
          </w:tcPr>
          <w:p w14:paraId="0932D3B3"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本款要求建立完善的节能、节水、节材、绿化的操作管理制度、工作指南和应急预案，并放置、悬挂或张贴在各个操作现场的明显处。例如：可再生能源系统操作规程、雨废水回用系统作业标准等。节能、节水设施的运行维护技术要求高，维护的工作量大，无论是自行运维还是购买专业服务，都需要建立完善的管理制度及应急预案，并在日常运行中应做好记录，通过专业化的物理管理促使操作人员有效保证工作的质量。 </w:t>
            </w:r>
          </w:p>
          <w:p w14:paraId="7DF037EA"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 xml:space="preserve">款，本款要求物业管理机构在保证建筑的使用性能要求、投诉率低于规定值的前提下，实现其经济效益与建筑用能系统的耗能状况、水资源等的使用情况直接挂钩。在运营管理中， </w:t>
            </w:r>
          </w:p>
          <w:p w14:paraId="0C6A1919" w14:textId="039E0D90"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建筑运行能耗可参考现行国家标准《民用建筑能耗标准》 GB/T 51161 制定激励政策，建筑水耗可参考现行国家标准《民用建筑节水设计标准》 </w:t>
            </w:r>
            <w:r w:rsidRPr="00356770">
              <w:rPr>
                <w:rFonts w:asciiTheme="majorEastAsia" w:eastAsiaTheme="majorEastAsia" w:hAnsiTheme="majorEastAsia" w:cstheme="majorEastAsia"/>
                <w:color w:val="0D0D0D" w:themeColor="text1" w:themeTint="F2"/>
                <w:szCs w:val="21"/>
              </w:rPr>
              <w:lastRenderedPageBreak/>
              <w:t>GB 50555 制定激励政策。通过绩效考核，调动各方面的节能、节水积极性。</w:t>
            </w:r>
          </w:p>
        </w:tc>
        <w:tc>
          <w:tcPr>
            <w:tcW w:w="1010" w:type="pct"/>
            <w:vAlign w:val="center"/>
          </w:tcPr>
          <w:p w14:paraId="5D519472" w14:textId="312108EC"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评价查阅相关管理制度、操作规程、应急预案、运行记录。</w:t>
            </w:r>
          </w:p>
        </w:tc>
        <w:tc>
          <w:tcPr>
            <w:tcW w:w="584" w:type="pct"/>
            <w:vAlign w:val="center"/>
          </w:tcPr>
          <w:p w14:paraId="1DB8B461" w14:textId="77F521AB"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00D86C96" w:rsidRPr="00356770">
              <w:rPr>
                <w:rFonts w:asciiTheme="majorEastAsia" w:eastAsiaTheme="majorEastAsia" w:hAnsiTheme="majorEastAsia" w:cstheme="majorEastAsia"/>
                <w:color w:val="0D0D0D" w:themeColor="text1" w:themeTint="F2"/>
                <w:szCs w:val="21"/>
              </w:rPr>
              <w:t>+</w:t>
            </w:r>
            <w:r w:rsidR="00D86C96" w:rsidRPr="00356770">
              <w:rPr>
                <w:rFonts w:asciiTheme="majorEastAsia" w:eastAsiaTheme="majorEastAsia" w:hAnsiTheme="majorEastAsia" w:cstheme="majorEastAsia"/>
                <w:color w:val="0D0D0D" w:themeColor="text1" w:themeTint="F2"/>
                <w:szCs w:val="21"/>
              </w:rPr>
              <w:t>3</w:t>
            </w:r>
          </w:p>
        </w:tc>
      </w:tr>
      <w:tr w:rsidR="00356770" w:rsidRPr="00356770" w14:paraId="7B069910" w14:textId="77777777" w:rsidTr="0038210A">
        <w:trPr>
          <w:trHeight w:val="299"/>
        </w:trPr>
        <w:tc>
          <w:tcPr>
            <w:tcW w:w="241" w:type="pct"/>
            <w:vMerge/>
            <w:vAlign w:val="center"/>
          </w:tcPr>
          <w:p w14:paraId="56426936"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CCB2D16" w14:textId="2AB60FF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11</w:t>
            </w:r>
          </w:p>
        </w:tc>
        <w:tc>
          <w:tcPr>
            <w:tcW w:w="1278" w:type="pct"/>
            <w:gridSpan w:val="2"/>
            <w:vAlign w:val="center"/>
          </w:tcPr>
          <w:p w14:paraId="37EDAEC3"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建筑平均用水量满足现行国家标准《民用建筑节水设计标准》GB 50555 中节水用水定额的要求，</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5分并按下列规则评分。1．平均日用水量大于节水用水定额的平均值、不大于上限值，得2分。</w:t>
            </w:r>
          </w:p>
          <w:p w14:paraId="34564A8E"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2．平均日用水量大于节水用水定额下限值、不大于平均值得3分。</w:t>
            </w:r>
          </w:p>
          <w:p w14:paraId="298D711F" w14:textId="6D76E9A6" w:rsidR="00BF690A" w:rsidRPr="00356770" w:rsidRDefault="00BF690A" w:rsidP="00BF690A">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3．平均日用水量不大于节水用水定额下限值，得5分。</w:t>
            </w:r>
          </w:p>
        </w:tc>
        <w:tc>
          <w:tcPr>
            <w:tcW w:w="1281" w:type="pct"/>
            <w:vAlign w:val="center"/>
          </w:tcPr>
          <w:p w14:paraId="617B0309"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计算平均日用水量时，应实事求是地确定用水的使用人数、用水面积等。</w:t>
            </w:r>
          </w:p>
          <w:p w14:paraId="4730532D"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对与用水人数无关的用水，如绿化灌溉、地面冲洗、水景补水等，则根据实际水表计量情况进行考核。</w:t>
            </w:r>
          </w:p>
          <w:p w14:paraId="32397AB8" w14:textId="23F3B633"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根据实际运行一年的水表计量数据和使用人数、用水面积等计算平均日用水量，与节水用水定额进行比较来判定。</w:t>
            </w:r>
          </w:p>
        </w:tc>
        <w:tc>
          <w:tcPr>
            <w:tcW w:w="1010" w:type="pct"/>
            <w:vAlign w:val="center"/>
          </w:tcPr>
          <w:p w14:paraId="6225B11E" w14:textId="124634F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评价查阅实测用水量计量报告和建筑平均日用水量计算书。</w:t>
            </w:r>
          </w:p>
        </w:tc>
        <w:tc>
          <w:tcPr>
            <w:tcW w:w="584" w:type="pct"/>
            <w:vAlign w:val="center"/>
          </w:tcPr>
          <w:p w14:paraId="5B08C8A7" w14:textId="7CDD5DA6" w:rsidR="00BF690A" w:rsidRPr="00356770" w:rsidRDefault="00D86C96"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w:t>
            </w:r>
          </w:p>
        </w:tc>
      </w:tr>
      <w:tr w:rsidR="00356770" w:rsidRPr="00356770" w14:paraId="669DF027" w14:textId="77777777" w:rsidTr="0038210A">
        <w:trPr>
          <w:trHeight w:val="299"/>
        </w:trPr>
        <w:tc>
          <w:tcPr>
            <w:tcW w:w="241" w:type="pct"/>
            <w:vMerge/>
            <w:vAlign w:val="center"/>
          </w:tcPr>
          <w:p w14:paraId="51E77BB0"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880F4EA" w14:textId="040D59FE"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12</w:t>
            </w:r>
          </w:p>
        </w:tc>
        <w:tc>
          <w:tcPr>
            <w:tcW w:w="1278" w:type="pct"/>
            <w:gridSpan w:val="2"/>
            <w:vAlign w:val="center"/>
          </w:tcPr>
          <w:p w14:paraId="232657CD"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期对建筑运营效果进行评估，并根据结果进行运行优化，</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12 分，并按下列规则分别评分并累计。1</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制定绿色建筑运营效果评估的技术方案和计划，得 3 分</w:t>
            </w:r>
          </w:p>
          <w:p w14:paraId="11030DB2"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2．定期检查、调适公共设施设备，具有检查、调试、运行标定的记录，且记录完整，得3分;</w:t>
            </w:r>
          </w:p>
          <w:p w14:paraId="3D311E4F"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3．定期开展节能诊断评估，并根据评估结果制定优化方案并实施，得4分;</w:t>
            </w:r>
          </w:p>
          <w:p w14:paraId="46409704" w14:textId="2064A2D4"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4．定期对各类用水水质进行检测、公示，得 2 分。</w:t>
            </w:r>
          </w:p>
        </w:tc>
        <w:tc>
          <w:tcPr>
            <w:tcW w:w="1281" w:type="pct"/>
            <w:vAlign w:val="center"/>
          </w:tcPr>
          <w:p w14:paraId="57A175A1"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款，绿色建筑涉及的专业面广，所以制定绿色建筑运营效果评估技术方案和评估计划，是评估有序和全面开展的保障条件。根据评估结果，可发现绿色建筑是否达到预期运行目标，进而针对发现的 </w:t>
            </w:r>
          </w:p>
          <w:p w14:paraId="682A76AE"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运营问题制定绿色建筑优化运营方案，保持甚至提升绿色建筑运行效率和运营效果。 </w:t>
            </w:r>
          </w:p>
          <w:p w14:paraId="4017DF35"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制定的管理制度、巡检规定、作业标准及相应的维保计划是保障使用者安全、健康的基本保障。定期的巡检包括：公共设施设备（管道井、绿化、路灯、外门窗等）的安全、完好程度、卫生情况等；设备间（配电室、机电系统机房、泵房）</w:t>
            </w:r>
            <w:r w:rsidRPr="00356770">
              <w:rPr>
                <w:rFonts w:asciiTheme="majorEastAsia" w:eastAsiaTheme="majorEastAsia" w:hAnsiTheme="majorEastAsia" w:cstheme="majorEastAsia"/>
                <w:color w:val="0D0D0D" w:themeColor="text1" w:themeTint="F2"/>
                <w:szCs w:val="21"/>
              </w:rPr>
              <w:lastRenderedPageBreak/>
              <w:t>的运行参数、状态、卫生等；消防设备设施（室外消防栓、自动报警系统、灭火器）等完好程度、标识、状态等；</w:t>
            </w:r>
            <w:proofErr w:type="gramStart"/>
            <w:r w:rsidRPr="00356770">
              <w:rPr>
                <w:rFonts w:asciiTheme="majorEastAsia" w:eastAsiaTheme="majorEastAsia" w:hAnsiTheme="majorEastAsia" w:cstheme="majorEastAsia"/>
                <w:color w:val="0D0D0D" w:themeColor="text1" w:themeTint="F2"/>
                <w:szCs w:val="21"/>
              </w:rPr>
              <w:t>建筑完损等级</w:t>
            </w:r>
            <w:proofErr w:type="gramEnd"/>
            <w:r w:rsidRPr="00356770">
              <w:rPr>
                <w:rFonts w:asciiTheme="majorEastAsia" w:eastAsiaTheme="majorEastAsia" w:hAnsiTheme="majorEastAsia" w:cstheme="majorEastAsia"/>
                <w:color w:val="0D0D0D" w:themeColor="text1" w:themeTint="F2"/>
                <w:szCs w:val="21"/>
              </w:rPr>
              <w:t xml:space="preserve">评定（结构部分的墙体，楼盖，楼地面、幕墙，装修部分的门窗，外装饰、细木装修，内墙抹灰）的安全检测、防锈防腐等，以上内容还应做好归档和记录。 </w:t>
            </w:r>
          </w:p>
          <w:p w14:paraId="6EDAC09A"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物业管理机构有责任定期（每年）开展能源诊断。公共建筑能源诊断的内容主要包括：冷水机组、热泵机组的实际性能系数、锅炉运行效率、水泵效率、水系统补水率、水系统供回水温差、冷却塔冷却性能、风机单位风量耗功率、</w:t>
            </w:r>
            <w:proofErr w:type="gramStart"/>
            <w:r w:rsidRPr="00356770">
              <w:rPr>
                <w:rFonts w:asciiTheme="majorEastAsia" w:eastAsiaTheme="majorEastAsia" w:hAnsiTheme="majorEastAsia" w:cstheme="majorEastAsia"/>
                <w:color w:val="0D0D0D" w:themeColor="text1" w:themeTint="F2"/>
                <w:szCs w:val="21"/>
              </w:rPr>
              <w:t>风系统</w:t>
            </w:r>
            <w:proofErr w:type="gramEnd"/>
            <w:r w:rsidRPr="00356770">
              <w:rPr>
                <w:rFonts w:asciiTheme="majorEastAsia" w:eastAsiaTheme="majorEastAsia" w:hAnsiTheme="majorEastAsia" w:cstheme="majorEastAsia"/>
                <w:color w:val="0D0D0D" w:themeColor="text1" w:themeTint="F2"/>
                <w:szCs w:val="21"/>
              </w:rPr>
              <w:t>平衡度等，公共建筑能源诊断检测方法可参照</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 xml:space="preserve">标准《公共建筑节能检测标准》 JGJ/T177 的有关规定。 </w:t>
            </w:r>
          </w:p>
          <w:p w14:paraId="36EE3E69" w14:textId="591BD7AB"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第4</w:t>
            </w:r>
            <w:r w:rsidRPr="00356770">
              <w:rPr>
                <w:rFonts w:asciiTheme="majorEastAsia" w:eastAsiaTheme="majorEastAsia" w:hAnsiTheme="majorEastAsia" w:cstheme="majorEastAsia"/>
                <w:color w:val="0D0D0D" w:themeColor="text1" w:themeTint="F2"/>
                <w:szCs w:val="21"/>
              </w:rPr>
              <w:t>款，水质的检测应按现行国家标准《生活饮用水标准检验方法》 GB/T 5750.l~GB/T 5750. 13 、</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 xml:space="preserve">标准《城镇供水水质标准检验方法》 CJ/T 141 等标准执行，并保证至少每季度对各类用水水质的常规指标进行1次检测。 </w:t>
            </w:r>
          </w:p>
        </w:tc>
        <w:tc>
          <w:tcPr>
            <w:tcW w:w="1010" w:type="pct"/>
            <w:vAlign w:val="center"/>
          </w:tcPr>
          <w:p w14:paraId="6CDD0055" w14:textId="5746EC9F"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评价查阅相关管理制度、年度评估报告、历史监测数据、运行记录、检测报告、诊断报告。</w:t>
            </w:r>
          </w:p>
        </w:tc>
        <w:tc>
          <w:tcPr>
            <w:tcW w:w="584" w:type="pct"/>
            <w:vAlign w:val="center"/>
          </w:tcPr>
          <w:p w14:paraId="7562B3F0" w14:textId="56F08001"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w:t>
            </w:r>
            <w:r w:rsidRPr="00356770">
              <w:rPr>
                <w:rFonts w:asciiTheme="majorEastAsia" w:eastAsiaTheme="majorEastAsia" w:hAnsiTheme="majorEastAsia" w:cstheme="majorEastAsia"/>
                <w:color w:val="0D0D0D" w:themeColor="text1" w:themeTint="F2"/>
                <w:szCs w:val="21"/>
              </w:rPr>
              <w:t>+3+4+2</w:t>
            </w:r>
          </w:p>
        </w:tc>
      </w:tr>
      <w:tr w:rsidR="00356770" w:rsidRPr="00356770" w14:paraId="600D1A87" w14:textId="77777777" w:rsidTr="0038210A">
        <w:trPr>
          <w:trHeight w:val="299"/>
        </w:trPr>
        <w:tc>
          <w:tcPr>
            <w:tcW w:w="241" w:type="pct"/>
            <w:vMerge/>
            <w:vAlign w:val="center"/>
          </w:tcPr>
          <w:p w14:paraId="1D8808FC"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06CD6FA9" w14:textId="779979F3"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6</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13</w:t>
            </w:r>
          </w:p>
        </w:tc>
        <w:tc>
          <w:tcPr>
            <w:tcW w:w="1278" w:type="pct"/>
            <w:gridSpan w:val="2"/>
            <w:vAlign w:val="center"/>
          </w:tcPr>
          <w:p w14:paraId="516A4DEA"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建立绿色教育宣传和实践机制，编制绿色设施使用手册，形成良好的绿色氛围，并</w:t>
            </w:r>
            <w:r w:rsidRPr="00356770">
              <w:rPr>
                <w:rFonts w:asciiTheme="majorEastAsia" w:eastAsiaTheme="majorEastAsia" w:hAnsiTheme="majorEastAsia" w:cstheme="majorEastAsia" w:hint="eastAsia"/>
                <w:color w:val="0D0D0D" w:themeColor="text1" w:themeTint="F2"/>
                <w:szCs w:val="21"/>
              </w:rPr>
              <w:lastRenderedPageBreak/>
              <w:t>定期开展使用者满意度调查，</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 8 分，并按下列规则分别评分并累计。1．每年组织不少于2次的绿色建筑技术宣传、绿色生活引导、灾害应急演练等绿色教育宣传和实践活动，并有活动记录得2分;</w:t>
            </w:r>
          </w:p>
          <w:p w14:paraId="763BE62B" w14:textId="7777777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2．具有绿色生活展示、体验或交流分享的平台，并向使用者提供绿色设施使用手册，得3分;</w:t>
            </w:r>
          </w:p>
          <w:p w14:paraId="12415E25" w14:textId="239167A2" w:rsidR="00BF690A" w:rsidRPr="00356770" w:rsidRDefault="00BF690A" w:rsidP="00BF690A">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3．每年开展1次针对建筑绿色性能的使用者满意度调查且根据调查结果制定改进措施并实施、公示，得 3分。</w:t>
            </w:r>
          </w:p>
        </w:tc>
        <w:tc>
          <w:tcPr>
            <w:tcW w:w="1281" w:type="pct"/>
            <w:vAlign w:val="center"/>
          </w:tcPr>
          <w:p w14:paraId="1C2DA18D"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款，建立绿色教育宣传和实践活动机制，可以促进普及绿色建筑知识，让更多的人了</w:t>
            </w:r>
            <w:r w:rsidRPr="00356770">
              <w:rPr>
                <w:rFonts w:asciiTheme="majorEastAsia" w:eastAsiaTheme="majorEastAsia" w:hAnsiTheme="majorEastAsia" w:cstheme="majorEastAsia"/>
                <w:color w:val="0D0D0D" w:themeColor="text1" w:themeTint="F2"/>
                <w:szCs w:val="21"/>
              </w:rPr>
              <w:lastRenderedPageBreak/>
              <w:t xml:space="preserve">解绿色建筑的运营理念和有关要求。 </w:t>
            </w:r>
          </w:p>
          <w:p w14:paraId="1D9B5D51"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 xml:space="preserve">款，鼓励形式多样的绿色生活展示、体验或交流分享的平台，包括利用实体平台和网络平台的宣传、推广和活动，如建立绿色生活的体验小站、旧物置换、步数绿色积分、绿色小天使亲子活动等。 </w:t>
            </w:r>
          </w:p>
          <w:p w14:paraId="70C56A4F" w14:textId="6C579DA7" w:rsidR="00BF690A" w:rsidRPr="00356770" w:rsidRDefault="00BF690A" w:rsidP="00BF690A">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建筑应满足建筑使用者的需求，绿色建筑最终应用效果的重要判据之一是建筑使用者的评判和满意度。使用者满意度调查的内容主要针对安全耐久、健康舒适、生活便利、资源节约（侧重节能、节水）、环境宜居的绿色性能，并着重关注物业管理、秩序与安全、车辆管理、公共环境、建筑外墙维护等与建筑使用者。应根据满意度调查结果制定建筑性能提升改进措施并加以落实，尤其针对使用者不太满意的调查内容。</w:t>
            </w:r>
          </w:p>
        </w:tc>
        <w:tc>
          <w:tcPr>
            <w:tcW w:w="1010" w:type="pct"/>
            <w:vAlign w:val="center"/>
          </w:tcPr>
          <w:p w14:paraId="636B83F2" w14:textId="77777777" w:rsidR="00BF690A" w:rsidRPr="00356770" w:rsidRDefault="00BF690A" w:rsidP="00BF690A">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评价查阅相关管理制度、工作记录、活动宣传和推送材料、绿色设施</w:t>
            </w:r>
            <w:r w:rsidRPr="00356770">
              <w:rPr>
                <w:rFonts w:asciiTheme="majorEastAsia" w:eastAsiaTheme="majorEastAsia" w:hAnsiTheme="majorEastAsia" w:cstheme="majorEastAsia"/>
                <w:color w:val="0D0D0D" w:themeColor="text1" w:themeTint="F2"/>
                <w:szCs w:val="21"/>
              </w:rPr>
              <w:lastRenderedPageBreak/>
              <w:t xml:space="preserve">使用手册、影像材料、年度调查报 </w:t>
            </w:r>
          </w:p>
          <w:p w14:paraId="608C53BB" w14:textId="2EB1D619" w:rsidR="00BF690A" w:rsidRPr="00356770" w:rsidRDefault="00BF690A" w:rsidP="00BF690A">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告及整改</w:t>
            </w:r>
            <w:proofErr w:type="gramEnd"/>
            <w:r w:rsidRPr="00356770">
              <w:rPr>
                <w:rFonts w:asciiTheme="majorEastAsia" w:eastAsiaTheme="majorEastAsia" w:hAnsiTheme="majorEastAsia" w:cstheme="majorEastAsia"/>
                <w:color w:val="0D0D0D" w:themeColor="text1" w:themeTint="F2"/>
                <w:szCs w:val="21"/>
              </w:rPr>
              <w:t>方案。</w:t>
            </w:r>
          </w:p>
        </w:tc>
        <w:tc>
          <w:tcPr>
            <w:tcW w:w="584" w:type="pct"/>
            <w:vAlign w:val="center"/>
          </w:tcPr>
          <w:p w14:paraId="027510AB" w14:textId="776F483B"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2</w:t>
            </w:r>
            <w:r w:rsidRPr="00356770">
              <w:rPr>
                <w:rFonts w:asciiTheme="majorEastAsia" w:eastAsiaTheme="majorEastAsia" w:hAnsiTheme="majorEastAsia" w:cstheme="majorEastAsia"/>
                <w:color w:val="0D0D0D" w:themeColor="text1" w:themeTint="F2"/>
                <w:szCs w:val="21"/>
              </w:rPr>
              <w:t>+3+3</w:t>
            </w:r>
          </w:p>
        </w:tc>
      </w:tr>
      <w:tr w:rsidR="00BF690A" w:rsidRPr="00356770" w14:paraId="1877840F" w14:textId="77777777" w:rsidTr="0038210A">
        <w:trPr>
          <w:trHeight w:val="299"/>
        </w:trPr>
        <w:tc>
          <w:tcPr>
            <w:tcW w:w="241" w:type="pct"/>
            <w:vMerge/>
            <w:vAlign w:val="center"/>
          </w:tcPr>
          <w:p w14:paraId="1B1175EC"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p>
        </w:tc>
        <w:tc>
          <w:tcPr>
            <w:tcW w:w="606" w:type="pct"/>
            <w:vAlign w:val="center"/>
          </w:tcPr>
          <w:p w14:paraId="07E59729" w14:textId="77777777"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4153" w:type="pct"/>
            <w:gridSpan w:val="5"/>
            <w:vAlign w:val="center"/>
          </w:tcPr>
          <w:p w14:paraId="0DE4AAC2" w14:textId="510EEF0F" w:rsidR="00BF690A" w:rsidRPr="00356770" w:rsidRDefault="00BF690A" w:rsidP="00BF690A">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生活便利项总分：</w:t>
            </w:r>
            <w:r w:rsidR="00B343CF">
              <w:rPr>
                <w:rFonts w:asciiTheme="majorEastAsia" w:eastAsiaTheme="majorEastAsia" w:hAnsiTheme="majorEastAsia" w:cstheme="majorEastAsia"/>
                <w:color w:val="0D0D0D" w:themeColor="text1" w:themeTint="F2"/>
                <w:szCs w:val="21"/>
              </w:rPr>
              <w:t>57</w:t>
            </w:r>
          </w:p>
        </w:tc>
      </w:tr>
    </w:tbl>
    <w:p w14:paraId="3C11F40A"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p w14:paraId="17CBED24"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表A-</w:t>
      </w:r>
      <w:r w:rsidRPr="00356770">
        <w:rPr>
          <w:rFonts w:asciiTheme="majorEastAsia" w:eastAsiaTheme="majorEastAsia" w:hAnsiTheme="majorEastAsia" w:cstheme="majorEastAsia" w:hint="eastAsia"/>
          <w:b/>
          <w:bCs/>
          <w:color w:val="0D0D0D" w:themeColor="text1" w:themeTint="F2"/>
          <w:szCs w:val="21"/>
        </w:rPr>
        <w:t>4</w:t>
      </w:r>
      <w:r w:rsidRPr="00356770">
        <w:rPr>
          <w:rFonts w:asciiTheme="majorEastAsia" w:eastAsiaTheme="majorEastAsia" w:hAnsiTheme="majorEastAsia" w:cstheme="majorEastAsia"/>
          <w:b/>
          <w:bCs/>
          <w:color w:val="0D0D0D" w:themeColor="text1" w:themeTint="F2"/>
          <w:szCs w:val="21"/>
        </w:rPr>
        <w:t xml:space="preserve"> </w:t>
      </w:r>
      <w:r w:rsidRPr="00356770">
        <w:rPr>
          <w:rFonts w:asciiTheme="majorEastAsia" w:eastAsiaTheme="majorEastAsia" w:hAnsiTheme="majorEastAsia" w:cstheme="majorEastAsia" w:hint="eastAsia"/>
          <w:b/>
          <w:bCs/>
          <w:color w:val="0D0D0D" w:themeColor="text1" w:themeTint="F2"/>
          <w:szCs w:val="21"/>
        </w:rPr>
        <w:t>资源节约</w:t>
      </w:r>
    </w:p>
    <w:tbl>
      <w:tblPr>
        <w:tblStyle w:val="a3"/>
        <w:tblW w:w="4996" w:type="pct"/>
        <w:tblLook w:val="04A0" w:firstRow="1" w:lastRow="0" w:firstColumn="1" w:lastColumn="0" w:noHBand="0" w:noVBand="1"/>
      </w:tblPr>
      <w:tblGrid>
        <w:gridCol w:w="434"/>
        <w:gridCol w:w="1092"/>
        <w:gridCol w:w="2303"/>
        <w:gridCol w:w="2337"/>
        <w:gridCol w:w="1820"/>
        <w:gridCol w:w="1023"/>
      </w:tblGrid>
      <w:tr w:rsidR="00356770" w:rsidRPr="00356770" w14:paraId="0D838080" w14:textId="77777777" w:rsidTr="0044598A">
        <w:tc>
          <w:tcPr>
            <w:tcW w:w="2109" w:type="pct"/>
            <w:gridSpan w:val="3"/>
            <w:vAlign w:val="center"/>
          </w:tcPr>
          <w:p w14:paraId="055538D3"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标准条文</w:t>
            </w:r>
          </w:p>
        </w:tc>
        <w:tc>
          <w:tcPr>
            <w:tcW w:w="1297" w:type="pct"/>
            <w:vAlign w:val="center"/>
          </w:tcPr>
          <w:p w14:paraId="3171B9B7"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1010" w:type="pct"/>
            <w:vAlign w:val="center"/>
          </w:tcPr>
          <w:p w14:paraId="72EE6AC2"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评价方法</w:t>
            </w:r>
          </w:p>
        </w:tc>
        <w:tc>
          <w:tcPr>
            <w:tcW w:w="584" w:type="pct"/>
            <w:vAlign w:val="center"/>
          </w:tcPr>
          <w:p w14:paraId="3F82870B"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w:t>
            </w:r>
          </w:p>
        </w:tc>
      </w:tr>
      <w:tr w:rsidR="00356770" w:rsidRPr="00356770" w14:paraId="4AFDF590" w14:textId="77777777" w:rsidTr="0044598A">
        <w:tc>
          <w:tcPr>
            <w:tcW w:w="241" w:type="pct"/>
            <w:vMerge w:val="restart"/>
            <w:vAlign w:val="center"/>
          </w:tcPr>
          <w:p w14:paraId="08E55744"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w:t>
            </w:r>
          </w:p>
          <w:p w14:paraId="615177FC"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制</w:t>
            </w:r>
          </w:p>
          <w:p w14:paraId="0D74E5CD"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6" w:type="pct"/>
            <w:vAlign w:val="center"/>
          </w:tcPr>
          <w:p w14:paraId="58A0A87C"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w:t>
            </w:r>
          </w:p>
        </w:tc>
        <w:tc>
          <w:tcPr>
            <w:tcW w:w="1262" w:type="pct"/>
            <w:vAlign w:val="center"/>
          </w:tcPr>
          <w:p w14:paraId="266C9409"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条文内容</w:t>
            </w:r>
          </w:p>
        </w:tc>
        <w:tc>
          <w:tcPr>
            <w:tcW w:w="1297" w:type="pct"/>
            <w:vAlign w:val="center"/>
          </w:tcPr>
          <w:p w14:paraId="2E77E1D5"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tc>
        <w:tc>
          <w:tcPr>
            <w:tcW w:w="1010" w:type="pct"/>
            <w:vAlign w:val="center"/>
          </w:tcPr>
          <w:p w14:paraId="481F6392"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tc>
        <w:tc>
          <w:tcPr>
            <w:tcW w:w="584" w:type="pct"/>
            <w:vAlign w:val="center"/>
          </w:tcPr>
          <w:p w14:paraId="773BC4E8" w14:textId="0CD616D6"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0B135B73" w14:textId="77777777" w:rsidTr="0044598A">
        <w:tc>
          <w:tcPr>
            <w:tcW w:w="241" w:type="pct"/>
            <w:vMerge/>
            <w:vAlign w:val="center"/>
          </w:tcPr>
          <w:p w14:paraId="0BC263C4"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B7A107F" w14:textId="5B6CDDC8"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.1.1</w:t>
            </w:r>
          </w:p>
        </w:tc>
        <w:tc>
          <w:tcPr>
            <w:tcW w:w="1262" w:type="pct"/>
            <w:vAlign w:val="center"/>
          </w:tcPr>
          <w:p w14:paraId="54D7BE1D" w14:textId="1E05D378"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应结合场地自然条件和建筑功能需求，对建筑的体形平面布局、空间尺度、围护结构等进行节能设计，且应符合国家有关节能设计的要求。</w:t>
            </w:r>
          </w:p>
        </w:tc>
        <w:tc>
          <w:tcPr>
            <w:tcW w:w="1297" w:type="pct"/>
            <w:vAlign w:val="center"/>
          </w:tcPr>
          <w:p w14:paraId="73A5408A" w14:textId="5A8B3EBC"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因地制宜是绿色建筑设计首先要考虑的因素，不仅仅需要考虑当地气候条件，其建筑的形体、尺度还需要综合场地周边的传统文化、地方特色统筹协调，建筑物的平面布局应结合</w:t>
            </w:r>
            <w:r w:rsidRPr="00356770">
              <w:rPr>
                <w:rFonts w:asciiTheme="majorEastAsia" w:eastAsiaTheme="majorEastAsia" w:hAnsiTheme="majorEastAsia" w:cstheme="majorEastAsia"/>
                <w:color w:val="0D0D0D" w:themeColor="text1" w:themeTint="F2"/>
                <w:szCs w:val="21"/>
              </w:rPr>
              <w:lastRenderedPageBreak/>
              <w:t>场地</w:t>
            </w:r>
            <w:proofErr w:type="gramStart"/>
            <w:r w:rsidRPr="00356770">
              <w:rPr>
                <w:rFonts w:asciiTheme="majorEastAsia" w:eastAsiaTheme="majorEastAsia" w:hAnsiTheme="majorEastAsia" w:cstheme="majorEastAsia"/>
                <w:color w:val="0D0D0D" w:themeColor="text1" w:themeTint="F2"/>
                <w:szCs w:val="21"/>
              </w:rPr>
              <w:t>地</w:t>
            </w:r>
            <w:proofErr w:type="gramEnd"/>
            <w:r w:rsidRPr="00356770">
              <w:rPr>
                <w:rFonts w:asciiTheme="majorEastAsia" w:eastAsiaTheme="majorEastAsia" w:hAnsiTheme="majorEastAsia" w:cstheme="majorEastAsia"/>
                <w:color w:val="0D0D0D" w:themeColor="text1" w:themeTint="F2"/>
                <w:szCs w:val="21"/>
              </w:rPr>
              <w:t xml:space="preserve"> 形、环境等自然条件制约，并权衡各因素之间的相互关系，通过多方面分析、优化建筑的规划设计。绿色建筑设计还应在综合考虑基地容积率、限高、绿化率、交通等功能因素基础上，统筹考虑冬夏季节节能需求，优化设计体形、朝向和</w:t>
            </w:r>
            <w:proofErr w:type="gramStart"/>
            <w:r w:rsidRPr="00356770">
              <w:rPr>
                <w:rFonts w:asciiTheme="majorEastAsia" w:eastAsiaTheme="majorEastAsia" w:hAnsiTheme="majorEastAsia" w:cstheme="majorEastAsia"/>
                <w:color w:val="0D0D0D" w:themeColor="text1" w:themeTint="F2"/>
                <w:szCs w:val="21"/>
              </w:rPr>
              <w:t>窗墙</w:t>
            </w:r>
            <w:proofErr w:type="gramEnd"/>
            <w:r w:rsidRPr="00356770">
              <w:rPr>
                <w:rFonts w:asciiTheme="majorEastAsia" w:eastAsiaTheme="majorEastAsia" w:hAnsiTheme="majorEastAsia" w:cstheme="majorEastAsia"/>
                <w:color w:val="0D0D0D" w:themeColor="text1" w:themeTint="F2"/>
                <w:szCs w:val="21"/>
              </w:rPr>
              <w:t>比。</w:t>
            </w:r>
          </w:p>
        </w:tc>
        <w:tc>
          <w:tcPr>
            <w:tcW w:w="1010" w:type="pct"/>
            <w:vAlign w:val="center"/>
          </w:tcPr>
          <w:p w14:paraId="0B8F25FA"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查阅相关设计文件（总图、建筑鸟瞰图、单体效果图、人群视点透视图、平立</w:t>
            </w:r>
            <w:proofErr w:type="gramStart"/>
            <w:r w:rsidRPr="00356770">
              <w:rPr>
                <w:rFonts w:asciiTheme="majorEastAsia" w:eastAsiaTheme="majorEastAsia" w:hAnsiTheme="majorEastAsia" w:cstheme="majorEastAsia"/>
                <w:color w:val="0D0D0D" w:themeColor="text1" w:themeTint="F2"/>
                <w:szCs w:val="21"/>
              </w:rPr>
              <w:t>剖</w:t>
            </w:r>
            <w:proofErr w:type="gramEnd"/>
            <w:r w:rsidRPr="00356770">
              <w:rPr>
                <w:rFonts w:asciiTheme="majorEastAsia" w:eastAsiaTheme="majorEastAsia" w:hAnsiTheme="majorEastAsia" w:cstheme="majorEastAsia"/>
                <w:color w:val="0D0D0D" w:themeColor="text1" w:themeTint="F2"/>
                <w:szCs w:val="21"/>
              </w:rPr>
              <w:t>图纸、设计说明等）、节能计算书、建筑日照模拟计算报</w:t>
            </w:r>
            <w:r w:rsidRPr="00356770">
              <w:rPr>
                <w:rFonts w:asciiTheme="majorEastAsia" w:eastAsiaTheme="majorEastAsia" w:hAnsiTheme="majorEastAsia" w:cstheme="majorEastAsia"/>
                <w:color w:val="0D0D0D" w:themeColor="text1" w:themeTint="F2"/>
                <w:szCs w:val="21"/>
              </w:rPr>
              <w:lastRenderedPageBreak/>
              <w:t xml:space="preserve">告、优化设计报告；评价查阅相关竣工图、节能计算书、建筑日照模拟计算报告、优化 </w:t>
            </w:r>
          </w:p>
          <w:p w14:paraId="25A9DE74" w14:textId="0DB0964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设计报告。</w:t>
            </w:r>
          </w:p>
        </w:tc>
        <w:tc>
          <w:tcPr>
            <w:tcW w:w="584" w:type="pct"/>
            <w:vAlign w:val="center"/>
          </w:tcPr>
          <w:p w14:paraId="00C7C669" w14:textId="03DF6194"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lastRenderedPageBreak/>
              <w:t>满足</w:t>
            </w:r>
          </w:p>
        </w:tc>
      </w:tr>
      <w:tr w:rsidR="00356770" w:rsidRPr="00356770" w14:paraId="13FDF4D6" w14:textId="77777777" w:rsidTr="0044598A">
        <w:tc>
          <w:tcPr>
            <w:tcW w:w="241" w:type="pct"/>
            <w:vMerge/>
            <w:vAlign w:val="center"/>
          </w:tcPr>
          <w:p w14:paraId="00A81230"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ACE7E63" w14:textId="6392F9BB"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.1.2</w:t>
            </w:r>
          </w:p>
        </w:tc>
        <w:tc>
          <w:tcPr>
            <w:tcW w:w="1262" w:type="pct"/>
            <w:vAlign w:val="center"/>
          </w:tcPr>
          <w:p w14:paraId="56DC3AF0"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应采取措施降低部分负荷、部分空间使用下的供暖、空调系统能耗，并应符合下列规定。</w:t>
            </w:r>
          </w:p>
          <w:p w14:paraId="4DED380B" w14:textId="2EC1AB7A"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1．应区分房间的朝向细分供暖、空调区域，并应对系统进行分区控制;</w:t>
            </w:r>
          </w:p>
          <w:p w14:paraId="6ED36DF9" w14:textId="208BD045"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2．空调冷源的部分负荷性能系数 (IPLV)、电冷源综合制冷性能系数(SCOP)应符合现行国家标准《公共建筑节能设计标准》GB 50189 的规定</w:t>
            </w:r>
          </w:p>
        </w:tc>
        <w:tc>
          <w:tcPr>
            <w:tcW w:w="1297" w:type="pct"/>
            <w:vAlign w:val="center"/>
          </w:tcPr>
          <w:p w14:paraId="402EDA86" w14:textId="7FCC0E85"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空调系统一般按照最不利情况（满负荷）进行系统设计和设备选型，而建筑在绝大部分时间内是处</w:t>
            </w:r>
            <w:proofErr w:type="gramStart"/>
            <w:r w:rsidRPr="00356770">
              <w:rPr>
                <w:rFonts w:asciiTheme="majorEastAsia" w:eastAsiaTheme="majorEastAsia" w:hAnsiTheme="majorEastAsia" w:cstheme="majorEastAsia"/>
                <w:color w:val="0D0D0D" w:themeColor="text1" w:themeTint="F2"/>
                <w:szCs w:val="21"/>
              </w:rPr>
              <w:t>千部分</w:t>
            </w:r>
            <w:proofErr w:type="gramEnd"/>
            <w:r w:rsidRPr="00356770">
              <w:rPr>
                <w:rFonts w:asciiTheme="majorEastAsia" w:eastAsiaTheme="majorEastAsia" w:hAnsiTheme="majorEastAsia" w:cstheme="majorEastAsia"/>
                <w:color w:val="0D0D0D" w:themeColor="text1" w:themeTint="F2"/>
                <w:szCs w:val="21"/>
              </w:rPr>
              <w:t>负荷状况的，或者同一时间仅有一部分空间处于使用状态。现行国家标准《公共建筑节能设计标准》 GB 50189 已经对空调冷源的部分负荷性能(IPLV) 提出了要求，本条文参照执行。</w:t>
            </w:r>
          </w:p>
        </w:tc>
        <w:tc>
          <w:tcPr>
            <w:tcW w:w="1010" w:type="pct"/>
            <w:vAlign w:val="center"/>
          </w:tcPr>
          <w:p w14:paraId="60822443" w14:textId="4A81ECF2"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查阅相关设计文件（暖通专业施工图纸及设计说明，要求有控制策略、部分负荷性能系数(IPLV) 计算说明、电冷源综合制冷性能系数 (SCOP) 计算说明）；评价查阅相关竣工图、冷源机组设备说明。</w:t>
            </w:r>
          </w:p>
        </w:tc>
        <w:tc>
          <w:tcPr>
            <w:tcW w:w="584" w:type="pct"/>
            <w:vAlign w:val="center"/>
          </w:tcPr>
          <w:p w14:paraId="7BB61985" w14:textId="64674F11"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7370DD8A" w14:textId="77777777" w:rsidTr="0044598A">
        <w:tc>
          <w:tcPr>
            <w:tcW w:w="241" w:type="pct"/>
            <w:vMerge/>
            <w:vAlign w:val="center"/>
          </w:tcPr>
          <w:p w14:paraId="10A6706A"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5C334E99" w14:textId="5BEE05B8"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3</w:t>
            </w:r>
          </w:p>
        </w:tc>
        <w:tc>
          <w:tcPr>
            <w:tcW w:w="1262" w:type="pct"/>
            <w:vAlign w:val="center"/>
          </w:tcPr>
          <w:p w14:paraId="375B3759" w14:textId="2070F10F"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应根据建筑空间功能设置分区温度，合理降低室内过渡区空间的温度设定标准</w:t>
            </w:r>
          </w:p>
        </w:tc>
        <w:tc>
          <w:tcPr>
            <w:tcW w:w="1297" w:type="pct"/>
            <w:vAlign w:val="center"/>
          </w:tcPr>
          <w:p w14:paraId="41671D29" w14:textId="5255F0F6"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要求建筑应结合不同的行为特点和功能要求合理区分设定室内温度标准。在保证使用舒适度的前提下，合理设置少用能、不用能空间，减少用能时间、缩小用能空间，通过建筑空间设计达到节能效果。室内过渡空间是指门厅、中庭、高大空间中超出人员活动范围的空间，由于其较少或没有人员停留，可适当降低温度标准，以达到降低供暖空调用能的目的。“小空间保证、大空间过渡”</w:t>
            </w:r>
            <w:r w:rsidRPr="00356770">
              <w:rPr>
                <w:rFonts w:asciiTheme="majorEastAsia" w:eastAsiaTheme="majorEastAsia" w:hAnsiTheme="majorEastAsia" w:cstheme="majorEastAsia"/>
                <w:color w:val="0D0D0D" w:themeColor="text1" w:themeTint="F2"/>
                <w:szCs w:val="21"/>
              </w:rPr>
              <w:lastRenderedPageBreak/>
              <w:t>是指在设计高大空间建筑时，将人员停留区域控制在小空间范围内，大空间部分按照过渡空间设计。</w:t>
            </w:r>
          </w:p>
        </w:tc>
        <w:tc>
          <w:tcPr>
            <w:tcW w:w="1010" w:type="pct"/>
            <w:vAlign w:val="center"/>
          </w:tcPr>
          <w:p w14:paraId="2BD680D7" w14:textId="756BE0DE"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查阅相关设计文件；评价查阅相关竣工图、计算书。</w:t>
            </w:r>
          </w:p>
        </w:tc>
        <w:tc>
          <w:tcPr>
            <w:tcW w:w="584" w:type="pct"/>
            <w:vAlign w:val="center"/>
          </w:tcPr>
          <w:p w14:paraId="5F1994DD" w14:textId="2BF016A5"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38010F20" w14:textId="77777777" w:rsidTr="0044598A">
        <w:tc>
          <w:tcPr>
            <w:tcW w:w="241" w:type="pct"/>
            <w:vMerge/>
            <w:vAlign w:val="center"/>
          </w:tcPr>
          <w:p w14:paraId="76DA1A7F"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837801C" w14:textId="1D708DF1"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4</w:t>
            </w:r>
          </w:p>
        </w:tc>
        <w:tc>
          <w:tcPr>
            <w:tcW w:w="1262" w:type="pct"/>
            <w:vAlign w:val="center"/>
          </w:tcPr>
          <w:p w14:paraId="743A8351" w14:textId="3E084AB6"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主要功能房间的照明功率密度值不应高于现行国家标准《建筑照明设计标准》GB 50034 规定的现行值;公共区域的照明系统应采用分区、定时、感应等节能控制;采光区域的照明控制应独立于其他区域的照明控制。</w:t>
            </w:r>
          </w:p>
        </w:tc>
        <w:tc>
          <w:tcPr>
            <w:tcW w:w="1297" w:type="pct"/>
            <w:vAlign w:val="center"/>
          </w:tcPr>
          <w:p w14:paraId="03CCAFC4" w14:textId="4609F5E4"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照明系统分区需满足自然光利用、功能和作息差异的要求。功能差异如办公区、走廊、楼梯间、车库等的分区：作息差异一般指日常工作时间、值班时间等的不同。对千公共区域（包括走廊、楼梯间、大堂、门厅、地下停车场等场所）可采取分区、定时、感应等节能控制措施。如楼梯间采取声、光控或人体感应控制；走廊、地下车库可采用定时或其他的集中控制方式。</w:t>
            </w:r>
          </w:p>
        </w:tc>
        <w:tc>
          <w:tcPr>
            <w:tcW w:w="1010" w:type="pct"/>
            <w:vAlign w:val="center"/>
          </w:tcPr>
          <w:p w14:paraId="469EA680"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包含电气照明系统图、电气照明平面施工图）、设计说明（需包含照明设计要求、照明设计标准、照明控制措施等）、建筑照明功率密度计算分析报告；评价查阅相关竣工图、设计说明（需包含照明设计要求、照明设计标准、照明控制措施等）、建筑照明功率密度检 </w:t>
            </w:r>
          </w:p>
          <w:p w14:paraId="5E7FB710" w14:textId="4F664E19"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测报告。</w:t>
            </w:r>
          </w:p>
        </w:tc>
        <w:tc>
          <w:tcPr>
            <w:tcW w:w="584" w:type="pct"/>
            <w:vAlign w:val="center"/>
          </w:tcPr>
          <w:p w14:paraId="649EB7E1" w14:textId="67921853"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53F1913" w14:textId="77777777" w:rsidTr="0044598A">
        <w:tc>
          <w:tcPr>
            <w:tcW w:w="241" w:type="pct"/>
            <w:vMerge/>
            <w:vAlign w:val="center"/>
          </w:tcPr>
          <w:p w14:paraId="7F9EF5FB"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04FA210" w14:textId="25F6814F"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5</w:t>
            </w:r>
          </w:p>
        </w:tc>
        <w:tc>
          <w:tcPr>
            <w:tcW w:w="1262" w:type="pct"/>
            <w:vAlign w:val="center"/>
          </w:tcPr>
          <w:p w14:paraId="5A08E74C" w14:textId="658FF8D7"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冷热源、输配系统和照明等各部分能应进行独立分项计量。</w:t>
            </w:r>
          </w:p>
        </w:tc>
        <w:tc>
          <w:tcPr>
            <w:tcW w:w="1297" w:type="pct"/>
            <w:vAlign w:val="center"/>
          </w:tcPr>
          <w:p w14:paraId="229E4440" w14:textId="072B1495"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对于公共建筑，要求采用集中冷热源的公共建筑，在系统设计（或既有建筑改造设计）时必须考虑使建筑内各能耗环节如冷热源、输配系统、照明、热水能耗等都能实现独立分项计量；对非集中冷热源的公共建筑，在系统设计（或既有建筑改造设计）时必须考虑使建筑内根据面积或功能等实现分项计量。这有助于分析建筑各项能耗水平和能耗结构是否合理，发现问题并提出改进措施，从而有效地实施建筑节能。</w:t>
            </w:r>
          </w:p>
        </w:tc>
        <w:tc>
          <w:tcPr>
            <w:tcW w:w="1010" w:type="pct"/>
            <w:vAlign w:val="center"/>
          </w:tcPr>
          <w:p w14:paraId="2CAD0579" w14:textId="22CEE781"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查阅相关设计文件；评价查阅相关竣工图、分项计量记录。</w:t>
            </w:r>
          </w:p>
        </w:tc>
        <w:tc>
          <w:tcPr>
            <w:tcW w:w="584" w:type="pct"/>
            <w:vAlign w:val="center"/>
          </w:tcPr>
          <w:p w14:paraId="04B7AB9B" w14:textId="6ABC1C70"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59EB9C00" w14:textId="77777777" w:rsidTr="0044598A">
        <w:tc>
          <w:tcPr>
            <w:tcW w:w="241" w:type="pct"/>
            <w:vMerge/>
            <w:vAlign w:val="center"/>
          </w:tcPr>
          <w:p w14:paraId="389EC81A"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E6F5155" w14:textId="2410DD34"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6</w:t>
            </w:r>
          </w:p>
        </w:tc>
        <w:tc>
          <w:tcPr>
            <w:tcW w:w="1262" w:type="pct"/>
            <w:vAlign w:val="center"/>
          </w:tcPr>
          <w:p w14:paraId="4F8FF315" w14:textId="7F43B4EF"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垂直电梯应采取群控、变频调速或能量反馈等节能措施自动扶梯应采用变频感应</w:t>
            </w:r>
            <w:r w:rsidRPr="00356770">
              <w:rPr>
                <w:rFonts w:asciiTheme="majorEastAsia" w:eastAsiaTheme="majorEastAsia" w:hAnsiTheme="majorEastAsia" w:cstheme="majorEastAsia" w:hint="eastAsia"/>
                <w:color w:val="0D0D0D" w:themeColor="text1" w:themeTint="F2"/>
                <w:szCs w:val="21"/>
              </w:rPr>
              <w:lastRenderedPageBreak/>
              <w:t>启动等节能控制措施。</w:t>
            </w:r>
          </w:p>
        </w:tc>
        <w:tc>
          <w:tcPr>
            <w:tcW w:w="1297" w:type="pct"/>
            <w:vAlign w:val="center"/>
          </w:tcPr>
          <w:p w14:paraId="606D5839" w14:textId="1AC1490F"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 xml:space="preserve">本条在本标准 2014 </w:t>
            </w:r>
            <w:proofErr w:type="gramStart"/>
            <w:r w:rsidRPr="00356770">
              <w:rPr>
                <w:rFonts w:asciiTheme="majorEastAsia" w:eastAsiaTheme="majorEastAsia" w:hAnsiTheme="majorEastAsia" w:cstheme="majorEastAsia"/>
                <w:color w:val="0D0D0D" w:themeColor="text1" w:themeTint="F2"/>
                <w:szCs w:val="21"/>
              </w:rPr>
              <w:t>年版第</w:t>
            </w:r>
            <w:proofErr w:type="gramEnd"/>
            <w:r w:rsidRPr="00356770">
              <w:rPr>
                <w:rFonts w:asciiTheme="majorEastAsia" w:eastAsiaTheme="majorEastAsia" w:hAnsiTheme="majorEastAsia" w:cstheme="majorEastAsia"/>
                <w:color w:val="0D0D0D" w:themeColor="text1" w:themeTint="F2"/>
                <w:szCs w:val="21"/>
              </w:rPr>
              <w:t xml:space="preserve"> 5. 2. 11 </w:t>
            </w:r>
            <w:proofErr w:type="gramStart"/>
            <w:r w:rsidRPr="00356770">
              <w:rPr>
                <w:rFonts w:asciiTheme="majorEastAsia" w:eastAsiaTheme="majorEastAsia" w:hAnsiTheme="majorEastAsia" w:cstheme="majorEastAsia"/>
                <w:color w:val="0D0D0D" w:themeColor="text1" w:themeTint="F2"/>
                <w:szCs w:val="21"/>
              </w:rPr>
              <w:t>条基础</w:t>
            </w:r>
            <w:proofErr w:type="gramEnd"/>
            <w:r w:rsidRPr="00356770">
              <w:rPr>
                <w:rFonts w:asciiTheme="majorEastAsia" w:eastAsiaTheme="majorEastAsia" w:hAnsiTheme="majorEastAsia" w:cstheme="majorEastAsia"/>
                <w:color w:val="0D0D0D" w:themeColor="text1" w:themeTint="F2"/>
                <w:szCs w:val="21"/>
              </w:rPr>
              <w:t>上发展而来。本条是对电梯系统的节能控制措</w:t>
            </w:r>
            <w:r w:rsidRPr="00356770">
              <w:rPr>
                <w:rFonts w:asciiTheme="majorEastAsia" w:eastAsiaTheme="majorEastAsia" w:hAnsiTheme="majorEastAsia" w:cstheme="majorEastAsia"/>
                <w:color w:val="0D0D0D" w:themeColor="text1" w:themeTint="F2"/>
                <w:szCs w:val="21"/>
              </w:rPr>
              <w:lastRenderedPageBreak/>
              <w:t>施的要求。对垂直电梯，应具有群控、变频调速拖动、能量再生回馈等至少一项技术，实现电梯节能。对于扶梯，应采用变频感应启动技术来降低使用能耗。</w:t>
            </w:r>
          </w:p>
        </w:tc>
        <w:tc>
          <w:tcPr>
            <w:tcW w:w="1010" w:type="pct"/>
            <w:vAlign w:val="center"/>
          </w:tcPr>
          <w:p w14:paraId="76941235"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查阅相关设计文件、电梯与自动扶梯人流平衡计算分析报告；</w:t>
            </w:r>
            <w:r w:rsidRPr="00356770">
              <w:rPr>
                <w:rFonts w:asciiTheme="majorEastAsia" w:eastAsiaTheme="majorEastAsia" w:hAnsiTheme="majorEastAsia" w:cstheme="majorEastAsia"/>
                <w:color w:val="0D0D0D" w:themeColor="text1" w:themeTint="F2"/>
                <w:szCs w:val="21"/>
              </w:rPr>
              <w:lastRenderedPageBreak/>
              <w:t xml:space="preserve">评价查阅相关竣工图、相关产品型 </w:t>
            </w:r>
          </w:p>
          <w:p w14:paraId="5DDE7C9D" w14:textId="298B6CFF"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式检验报告。</w:t>
            </w:r>
          </w:p>
        </w:tc>
        <w:tc>
          <w:tcPr>
            <w:tcW w:w="584" w:type="pct"/>
            <w:vAlign w:val="center"/>
          </w:tcPr>
          <w:p w14:paraId="3B5F812E" w14:textId="6C8976FF"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lastRenderedPageBreak/>
              <w:t>满足</w:t>
            </w:r>
          </w:p>
        </w:tc>
      </w:tr>
      <w:tr w:rsidR="00356770" w:rsidRPr="00356770" w14:paraId="5210DCB9" w14:textId="77777777" w:rsidTr="0044598A">
        <w:tc>
          <w:tcPr>
            <w:tcW w:w="241" w:type="pct"/>
            <w:vMerge/>
            <w:vAlign w:val="center"/>
          </w:tcPr>
          <w:p w14:paraId="0D228084"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FA8F309" w14:textId="264D944D"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7</w:t>
            </w:r>
          </w:p>
        </w:tc>
        <w:tc>
          <w:tcPr>
            <w:tcW w:w="1262" w:type="pct"/>
            <w:vAlign w:val="center"/>
          </w:tcPr>
          <w:p w14:paraId="61E42E70" w14:textId="77777777"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应制定水资源利用方案，统筹利用各种水资源，并应符合下列规定</w:t>
            </w:r>
          </w:p>
          <w:p w14:paraId="66622399"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1．应按使用用途、付费或管理单元，分别设置用水计量装置;</w:t>
            </w:r>
          </w:p>
          <w:p w14:paraId="5DFC8A42"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2．用水点处水压大于0.2MPa 的配水支管应设置减压设施并应满足给水配件最低工作压力的要求;</w:t>
            </w:r>
          </w:p>
          <w:p w14:paraId="0F808B1F" w14:textId="3C50F279"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3．用水器具和设备应满足节水产品的要求</w:t>
            </w:r>
          </w:p>
        </w:tc>
        <w:tc>
          <w:tcPr>
            <w:tcW w:w="1297" w:type="pct"/>
            <w:vAlign w:val="center"/>
          </w:tcPr>
          <w:p w14:paraId="5165D8A3" w14:textId="041C8F62"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水资源利用方案包含项目所在地气候情况、市政条件及节水政策，项目概况，水量计算及水平衡分析，给排水系统设计方案介绍，节水器具及设备说明，非传统水源利用方案等内容。</w:t>
            </w:r>
          </w:p>
        </w:tc>
        <w:tc>
          <w:tcPr>
            <w:tcW w:w="1010" w:type="pct"/>
            <w:vAlign w:val="center"/>
          </w:tcPr>
          <w:p w14:paraId="64E14249"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查阅相关设计文件（含水表分级设置示意图、各层用水点用水压力计算图表、用水器具节水性能 </w:t>
            </w:r>
          </w:p>
          <w:p w14:paraId="4B34BDC8" w14:textId="30B8C795"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要求）、水资源利用方案及其在设计中的落实说明；评价查阅相关竣工图、水资源利用方案及其在设计中的落实说明、用水器具产品说明书或产品节水性能检测报告。</w:t>
            </w:r>
          </w:p>
        </w:tc>
        <w:tc>
          <w:tcPr>
            <w:tcW w:w="584" w:type="pct"/>
            <w:vAlign w:val="center"/>
          </w:tcPr>
          <w:p w14:paraId="41616FF5" w14:textId="54E96B6E"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203991C5" w14:textId="77777777" w:rsidTr="0044598A">
        <w:tc>
          <w:tcPr>
            <w:tcW w:w="241" w:type="pct"/>
            <w:vMerge/>
            <w:vAlign w:val="center"/>
          </w:tcPr>
          <w:p w14:paraId="65534ED4"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803FDC5" w14:textId="4088BE8D"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8</w:t>
            </w:r>
          </w:p>
        </w:tc>
        <w:tc>
          <w:tcPr>
            <w:tcW w:w="1262" w:type="pct"/>
            <w:vAlign w:val="center"/>
          </w:tcPr>
          <w:p w14:paraId="5C2B57D7" w14:textId="039CF785"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不应采用建筑形体和布置严重不规则的建筑结构。</w:t>
            </w:r>
          </w:p>
        </w:tc>
        <w:tc>
          <w:tcPr>
            <w:tcW w:w="1297" w:type="pct"/>
            <w:vAlign w:val="center"/>
          </w:tcPr>
          <w:p w14:paraId="56B5484A"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建筑方案的规则性对建筑结构的抗震安全性来说十分重要。国家标准《建筑抗震设计规范》 GB 50011 - 2010 (2016 年版）第 3. 4. 条（强 </w:t>
            </w:r>
          </w:p>
          <w:p w14:paraId="05D5B4D1" w14:textId="03A326BD"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制性条文）明确规定“严重不规则的建筑不应采用”。</w:t>
            </w:r>
          </w:p>
        </w:tc>
        <w:tc>
          <w:tcPr>
            <w:tcW w:w="1010" w:type="pct"/>
            <w:vAlign w:val="center"/>
          </w:tcPr>
          <w:p w14:paraId="72866401" w14:textId="3BCD6989"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查阅相关设计文件（建筑图、结构施工图）、建筑形体规则性判定报告；评价查阅相关竣工图、 建筑形体规则性判定报告。</w:t>
            </w:r>
          </w:p>
        </w:tc>
        <w:tc>
          <w:tcPr>
            <w:tcW w:w="584" w:type="pct"/>
            <w:vAlign w:val="center"/>
          </w:tcPr>
          <w:p w14:paraId="28B76F67" w14:textId="5EC39508"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5F563B70" w14:textId="77777777" w:rsidTr="0044598A">
        <w:tc>
          <w:tcPr>
            <w:tcW w:w="241" w:type="pct"/>
            <w:vMerge/>
            <w:vAlign w:val="center"/>
          </w:tcPr>
          <w:p w14:paraId="34BDEABF"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4E3645F" w14:textId="6274FE2F"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9</w:t>
            </w:r>
          </w:p>
        </w:tc>
        <w:tc>
          <w:tcPr>
            <w:tcW w:w="1262" w:type="pct"/>
            <w:vAlign w:val="center"/>
          </w:tcPr>
          <w:p w14:paraId="1ABD09EC"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建筑造型要素应简约，应无大量装饰性构件，并应符合下列规定。1．住宅建筑的装饰性构件造价占建筑总造价的比例不应大于2%;</w:t>
            </w:r>
          </w:p>
          <w:p w14:paraId="528E7930" w14:textId="6132753B"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2．公共建筑的装饰性构件造价占建筑总造价的比例不应大于1%。</w:t>
            </w:r>
          </w:p>
        </w:tc>
        <w:tc>
          <w:tcPr>
            <w:tcW w:w="1297" w:type="pct"/>
            <w:vAlign w:val="center"/>
          </w:tcPr>
          <w:p w14:paraId="3ECBF6D6" w14:textId="2511CAB2"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设置大量的没有功能的纯装饰性构件，不符合绿色建筑节约资源的要求。鼓励使用装饰和功能一体化构件，在满足建筑功能的前提之下，体现美学效果、节约资源。同时，设置屋顶装饰性构件时应特别注意鞭梢效应等抗震问题。</w:t>
            </w:r>
            <w:proofErr w:type="gramStart"/>
            <w:r w:rsidRPr="00356770">
              <w:rPr>
                <w:rFonts w:asciiTheme="majorEastAsia" w:eastAsiaTheme="majorEastAsia" w:hAnsiTheme="majorEastAsia" w:cstheme="majorEastAsia"/>
                <w:color w:val="0D0D0D" w:themeColor="text1" w:themeTint="F2"/>
                <w:szCs w:val="21"/>
              </w:rPr>
              <w:t>对千不具备</w:t>
            </w:r>
            <w:proofErr w:type="gramEnd"/>
            <w:r w:rsidRPr="00356770">
              <w:rPr>
                <w:rFonts w:asciiTheme="majorEastAsia" w:eastAsiaTheme="majorEastAsia" w:hAnsiTheme="majorEastAsia" w:cstheme="majorEastAsia"/>
                <w:color w:val="0D0D0D" w:themeColor="text1" w:themeTint="F2"/>
                <w:szCs w:val="21"/>
              </w:rPr>
              <w:t>遮阳、导</w:t>
            </w:r>
            <w:r w:rsidRPr="00356770">
              <w:rPr>
                <w:rFonts w:asciiTheme="majorEastAsia" w:eastAsiaTheme="majorEastAsia" w:hAnsiTheme="majorEastAsia" w:cstheme="majorEastAsia"/>
                <w:color w:val="0D0D0D" w:themeColor="text1" w:themeTint="F2"/>
                <w:szCs w:val="21"/>
              </w:rPr>
              <w:lastRenderedPageBreak/>
              <w:t>光、导风、载物、辅助绿化等作用的飘板、格栅、构架和塔、球、曲面等装饰性构件，应对其造价进行控制。为更好地贯彻新时期建筑方针＂适用、经济、绿色、美观</w:t>
            </w:r>
            <w:proofErr w:type="gramStart"/>
            <w:r w:rsidRPr="00356770">
              <w:rPr>
                <w:rFonts w:asciiTheme="majorEastAsia" w:eastAsiaTheme="majorEastAsia" w:hAnsiTheme="majorEastAsia" w:cstheme="majorEastAsia"/>
                <w:color w:val="0D0D0D" w:themeColor="text1" w:themeTint="F2"/>
                <w:szCs w:val="21"/>
              </w:rPr>
              <w:t>”</w:t>
            </w:r>
            <w:proofErr w:type="gramEnd"/>
            <w:r w:rsidRPr="00356770">
              <w:rPr>
                <w:rFonts w:asciiTheme="majorEastAsia" w:eastAsiaTheme="majorEastAsia" w:hAnsiTheme="majorEastAsia" w:cstheme="majorEastAsia"/>
                <w:color w:val="0D0D0D" w:themeColor="text1" w:themeTint="F2"/>
                <w:szCs w:val="21"/>
              </w:rPr>
              <w:t>，兼顾公共建筑尤其是商业及文娱建筑的特殊性，本次对其装饰性构件造价比定为不应大于 1%</w:t>
            </w:r>
            <w:r w:rsidRPr="00356770">
              <w:rPr>
                <w:rFonts w:asciiTheme="majorEastAsia" w:eastAsiaTheme="majorEastAsia" w:hAnsiTheme="majorEastAsia" w:cstheme="majorEastAsia" w:hint="eastAsia"/>
                <w:color w:val="0D0D0D" w:themeColor="text1" w:themeTint="F2"/>
                <w:szCs w:val="21"/>
              </w:rPr>
              <w:t>。</w:t>
            </w:r>
          </w:p>
        </w:tc>
        <w:tc>
          <w:tcPr>
            <w:tcW w:w="1010" w:type="pct"/>
            <w:vAlign w:val="center"/>
          </w:tcPr>
          <w:p w14:paraId="31C945C3" w14:textId="52566E68"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查阅相关设计文件，有装饰性构件的应提供其功能说明书和造价计算书；评价查阅相关竣工图和造价计算书。</w:t>
            </w:r>
          </w:p>
        </w:tc>
        <w:tc>
          <w:tcPr>
            <w:tcW w:w="584" w:type="pct"/>
            <w:vAlign w:val="center"/>
          </w:tcPr>
          <w:p w14:paraId="11861166" w14:textId="10393C22"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00F7586E" w14:textId="77777777" w:rsidTr="0044598A">
        <w:tc>
          <w:tcPr>
            <w:tcW w:w="241" w:type="pct"/>
            <w:vMerge/>
            <w:vAlign w:val="center"/>
          </w:tcPr>
          <w:p w14:paraId="6C4FCB95"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C420E3C" w14:textId="3A168416"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10</w:t>
            </w:r>
          </w:p>
        </w:tc>
        <w:tc>
          <w:tcPr>
            <w:tcW w:w="1262" w:type="pct"/>
            <w:vAlign w:val="center"/>
          </w:tcPr>
          <w:p w14:paraId="6D68F355" w14:textId="77777777"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选用的建筑材料应符合下列规定</w:t>
            </w:r>
          </w:p>
          <w:p w14:paraId="6DCCE12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1.</w:t>
            </w:r>
            <w:r w:rsidRPr="00356770">
              <w:rPr>
                <w:rFonts w:asciiTheme="majorEastAsia" w:eastAsiaTheme="majorEastAsia" w:hAnsiTheme="majorEastAsia" w:cstheme="majorEastAsia" w:hint="eastAsia"/>
                <w:color w:val="0D0D0D" w:themeColor="text1" w:themeTint="F2"/>
                <w:szCs w:val="21"/>
              </w:rPr>
              <w:t>500km 以内生产的建筑材料重量占建筑材料总重量的比例应大于 60%;</w:t>
            </w:r>
          </w:p>
          <w:p w14:paraId="1D28FE6C" w14:textId="67E76645"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2．现浇混凝土应采用预拌混凝土，建筑砂浆应采用预拌砂浆。</w:t>
            </w:r>
          </w:p>
        </w:tc>
        <w:tc>
          <w:tcPr>
            <w:tcW w:w="1297" w:type="pct"/>
            <w:vAlign w:val="center"/>
          </w:tcPr>
          <w:p w14:paraId="3699E4AF"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款，鼓励选用本地化建材，是减少运输过程的资源和能源消耗、降低环境污染的重要手段之一。本条要求就地取材制成的建筑产品所占的比例应大千 60% 500km 是指建筑材料的最后一个生产工厂或场地到施工现场的运输距离。 </w:t>
            </w:r>
          </w:p>
          <w:p w14:paraId="48B53AEB" w14:textId="48E6D521"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提倡和推广使用预拌混凝土和预拌砂浆，其应用技术已较为成熟。与现场搅拌混凝土相比，预拌混凝土产品性能稳定，易于保证工程质鼠，且采用预拌混凝土能够减少施工现场噪声和粉尘污染，节约能源、资源，减少材料损耗。预拌混凝土应 符合现行国家标准《预拌混凝土》 GB/T 14902 的规定。</w:t>
            </w:r>
          </w:p>
        </w:tc>
        <w:tc>
          <w:tcPr>
            <w:tcW w:w="1010" w:type="pct"/>
            <w:vAlign w:val="center"/>
          </w:tcPr>
          <w:p w14:paraId="58D66A1D"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 xml:space="preserve">查阅结构施工图及设计说明、工程材料预算清单；评价查阅结构竣工图及设计说明、购销合同及 </w:t>
            </w:r>
          </w:p>
          <w:p w14:paraId="6BA2205C" w14:textId="34B1CEAD"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用量清单等有关证明文件。</w:t>
            </w:r>
          </w:p>
        </w:tc>
        <w:tc>
          <w:tcPr>
            <w:tcW w:w="584" w:type="pct"/>
            <w:vAlign w:val="center"/>
          </w:tcPr>
          <w:p w14:paraId="45C06534" w14:textId="31AE2AC2"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26CA2EFB" w14:textId="77777777" w:rsidTr="0044598A">
        <w:trPr>
          <w:trHeight w:val="248"/>
        </w:trPr>
        <w:tc>
          <w:tcPr>
            <w:tcW w:w="241" w:type="pct"/>
            <w:vMerge/>
            <w:vAlign w:val="center"/>
          </w:tcPr>
          <w:p w14:paraId="4BEFEF9E"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EC85D3C"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2559" w:type="pct"/>
            <w:gridSpan w:val="2"/>
            <w:vAlign w:val="center"/>
          </w:tcPr>
          <w:p w14:paraId="77ADA2A8" w14:textId="321092B2"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用于基本</w:t>
            </w:r>
            <w:proofErr w:type="gramStart"/>
            <w:r w:rsidRPr="00356770">
              <w:rPr>
                <w:rFonts w:asciiTheme="majorEastAsia" w:eastAsiaTheme="majorEastAsia" w:hAnsiTheme="majorEastAsia" w:cstheme="majorEastAsia" w:hint="eastAsia"/>
                <w:color w:val="0D0D0D" w:themeColor="text1" w:themeTint="F2"/>
                <w:szCs w:val="21"/>
              </w:rPr>
              <w:t>级评价</w:t>
            </w:r>
            <w:proofErr w:type="gramEnd"/>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用于星级控制</w:t>
            </w:r>
            <w:proofErr w:type="gramStart"/>
            <w:r w:rsidRPr="00356770">
              <w:rPr>
                <w:rFonts w:asciiTheme="majorEastAsia" w:eastAsiaTheme="majorEastAsia" w:hAnsiTheme="majorEastAsia" w:cstheme="majorEastAsia" w:hint="eastAsia"/>
                <w:color w:val="0D0D0D" w:themeColor="text1" w:themeTint="F2"/>
                <w:szCs w:val="21"/>
              </w:rPr>
              <w:t>项评价</w:t>
            </w:r>
            <w:proofErr w:type="gramEnd"/>
            <w:r w:rsidRPr="00356770">
              <w:rPr>
                <w:rFonts w:asciiTheme="majorEastAsia" w:eastAsiaTheme="majorEastAsia" w:hAnsiTheme="majorEastAsia" w:cstheme="majorEastAsia" w:hint="eastAsia"/>
                <w:color w:val="0D0D0D" w:themeColor="text1" w:themeTint="F2"/>
                <w:szCs w:val="21"/>
              </w:rPr>
              <w:t>□</w:t>
            </w:r>
          </w:p>
        </w:tc>
        <w:tc>
          <w:tcPr>
            <w:tcW w:w="1594" w:type="pct"/>
            <w:gridSpan w:val="2"/>
            <w:vAlign w:val="center"/>
          </w:tcPr>
          <w:p w14:paraId="5B45FB65" w14:textId="4ECABAEE"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评价结果：满足</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不满足□</w:t>
            </w:r>
          </w:p>
        </w:tc>
      </w:tr>
      <w:tr w:rsidR="00356770" w:rsidRPr="00356770" w14:paraId="77D199D6" w14:textId="77777777" w:rsidTr="0044598A">
        <w:trPr>
          <w:trHeight w:val="207"/>
        </w:trPr>
        <w:tc>
          <w:tcPr>
            <w:tcW w:w="241" w:type="pct"/>
            <w:vMerge w:val="restart"/>
            <w:vAlign w:val="center"/>
          </w:tcPr>
          <w:p w14:paraId="35790C21"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w:t>
            </w:r>
          </w:p>
          <w:p w14:paraId="7FD3299F"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分</w:t>
            </w:r>
          </w:p>
          <w:p w14:paraId="62F0BE95"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6" w:type="pct"/>
            <w:vAlign w:val="center"/>
          </w:tcPr>
          <w:p w14:paraId="48CC43DA" w14:textId="1F11AA7A"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.2.1</w:t>
            </w:r>
          </w:p>
        </w:tc>
        <w:tc>
          <w:tcPr>
            <w:tcW w:w="1278" w:type="pct"/>
            <w:vAlign w:val="center"/>
          </w:tcPr>
          <w:p w14:paraId="5F53E759" w14:textId="64022B0D"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节约集约利用土地，</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为20分，并按下列规则评分。</w:t>
            </w:r>
            <w:r w:rsidRPr="00356770">
              <w:rPr>
                <w:rFonts w:asciiTheme="majorEastAsia" w:eastAsiaTheme="majorEastAsia" w:hAnsiTheme="majorEastAsia" w:cstheme="majorEastAsia"/>
                <w:color w:val="0D0D0D" w:themeColor="text1" w:themeTint="F2"/>
                <w:szCs w:val="21"/>
              </w:rPr>
              <w:t xml:space="preserve"> </w:t>
            </w:r>
          </w:p>
        </w:tc>
        <w:tc>
          <w:tcPr>
            <w:tcW w:w="1281" w:type="pct"/>
            <w:vAlign w:val="center"/>
          </w:tcPr>
          <w:p w14:paraId="30DF236A" w14:textId="3AA6EB4E" w:rsidR="00294D2D" w:rsidRPr="00356770" w:rsidRDefault="00294D2D" w:rsidP="00294D2D">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对公共建筑，容积率是控制其节地的关键性指标。本标准在充分考虑公共建筑功能特征的基础上进行分类，一类是容积率通常较高的行政办公、商务办公、商业金融、旅馆饭店、</w:t>
            </w:r>
            <w:r w:rsidRPr="00356770">
              <w:rPr>
                <w:rFonts w:asciiTheme="majorEastAsia" w:eastAsiaTheme="majorEastAsia" w:hAnsiTheme="majorEastAsia" w:cstheme="majorEastAsia"/>
                <w:color w:val="0D0D0D" w:themeColor="text1" w:themeTint="F2"/>
                <w:szCs w:val="21"/>
              </w:rPr>
              <w:lastRenderedPageBreak/>
              <w:t>交通枢纽等设施，另一类是容积率不宜太高的教育、文化、体育、医疗卫生、社会福利等公共服务设施，并分别制定了评分规则。评价时应根据建筑类型对应的容积率进行赋值。</w:t>
            </w:r>
          </w:p>
        </w:tc>
        <w:tc>
          <w:tcPr>
            <w:tcW w:w="1010" w:type="pct"/>
            <w:vAlign w:val="center"/>
          </w:tcPr>
          <w:p w14:paraId="7B5E6A6D" w14:textId="2E46AA7D"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查阅规划许可的设计条件、相关设计文件、计算书、相关施工图；评价查阅相关设计文件、计算书、相关竣工图。</w:t>
            </w:r>
          </w:p>
        </w:tc>
        <w:tc>
          <w:tcPr>
            <w:tcW w:w="584" w:type="pct"/>
            <w:vAlign w:val="center"/>
          </w:tcPr>
          <w:p w14:paraId="7025DE64" w14:textId="77134DA2"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24"/>
              </w:rPr>
              <w:t>1</w:t>
            </w:r>
            <w:r w:rsidRPr="00356770">
              <w:rPr>
                <w:rFonts w:asciiTheme="majorEastAsia" w:eastAsiaTheme="majorEastAsia" w:hAnsiTheme="majorEastAsia" w:cstheme="majorEastAsia"/>
                <w:color w:val="0D0D0D" w:themeColor="text1" w:themeTint="F2"/>
                <w:sz w:val="24"/>
              </w:rPr>
              <w:t>6</w:t>
            </w:r>
          </w:p>
        </w:tc>
      </w:tr>
      <w:tr w:rsidR="00356770" w:rsidRPr="00356770" w14:paraId="2BAB229F" w14:textId="77777777" w:rsidTr="0044598A">
        <w:trPr>
          <w:trHeight w:val="139"/>
        </w:trPr>
        <w:tc>
          <w:tcPr>
            <w:tcW w:w="241" w:type="pct"/>
            <w:vMerge/>
            <w:vAlign w:val="center"/>
          </w:tcPr>
          <w:p w14:paraId="3F079C28"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1FE7649" w14:textId="55BB5983"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.2.2</w:t>
            </w:r>
          </w:p>
        </w:tc>
        <w:tc>
          <w:tcPr>
            <w:tcW w:w="1278" w:type="pct"/>
            <w:vAlign w:val="center"/>
          </w:tcPr>
          <w:p w14:paraId="309DE787" w14:textId="423A8590"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合理开发利用地下空间，</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为12分，根据地</w:t>
            </w:r>
            <w:proofErr w:type="gramStart"/>
            <w:r w:rsidRPr="00356770">
              <w:rPr>
                <w:rFonts w:asciiTheme="majorEastAsia" w:eastAsiaTheme="majorEastAsia" w:hAnsiTheme="majorEastAsia" w:cstheme="majorEastAsia" w:hint="eastAsia"/>
                <w:color w:val="0D0D0D" w:themeColor="text1" w:themeTint="F2"/>
                <w:szCs w:val="21"/>
              </w:rPr>
              <w:t>下空间</w:t>
            </w:r>
            <w:proofErr w:type="gramEnd"/>
            <w:r w:rsidRPr="00356770">
              <w:rPr>
                <w:rFonts w:asciiTheme="majorEastAsia" w:eastAsiaTheme="majorEastAsia" w:hAnsiTheme="majorEastAsia" w:cstheme="majorEastAsia" w:hint="eastAsia"/>
                <w:color w:val="0D0D0D" w:themeColor="text1" w:themeTint="F2"/>
                <w:szCs w:val="21"/>
              </w:rPr>
              <w:t>开发利用指标，按表7.2.2的规则评分。</w:t>
            </w:r>
          </w:p>
          <w:p w14:paraId="3A0C9A7F" w14:textId="5A22B81B"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1281" w:type="pct"/>
            <w:vAlign w:val="center"/>
          </w:tcPr>
          <w:p w14:paraId="108FDB06" w14:textId="767CC09C"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开发利用地下空间是城市节约集约用地的重要措施之一。地下空间的开发利用应与地上建筑及其他相关城市空间紧密结合、统一规划，但从雨水渗透及地下水补给、减少径流外排等生态环保要求出发，地下空间也应利用有度、科学合理。</w:t>
            </w:r>
          </w:p>
        </w:tc>
        <w:tc>
          <w:tcPr>
            <w:tcW w:w="1010" w:type="pct"/>
            <w:vAlign w:val="center"/>
          </w:tcPr>
          <w:p w14:paraId="79D22355" w14:textId="680737ED"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查阅相关设计文件、计算书；评价查阅相关竣工图、计算书。</w:t>
            </w:r>
          </w:p>
        </w:tc>
        <w:tc>
          <w:tcPr>
            <w:tcW w:w="584" w:type="pct"/>
            <w:vAlign w:val="center"/>
          </w:tcPr>
          <w:p w14:paraId="0DA26FE3" w14:textId="7F5DAB47"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7031E5E0" w14:textId="77777777" w:rsidTr="0044598A">
        <w:trPr>
          <w:trHeight w:val="299"/>
        </w:trPr>
        <w:tc>
          <w:tcPr>
            <w:tcW w:w="241" w:type="pct"/>
            <w:vMerge/>
            <w:vAlign w:val="center"/>
          </w:tcPr>
          <w:p w14:paraId="5F5BE85B"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63EDC68B" w14:textId="797324AB"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3</w:t>
            </w:r>
          </w:p>
        </w:tc>
        <w:tc>
          <w:tcPr>
            <w:tcW w:w="1278" w:type="pct"/>
            <w:vAlign w:val="center"/>
          </w:tcPr>
          <w:p w14:paraId="2AF60D05" w14:textId="00FDD900"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采用机械式停车设施、地下停车库或地面停车楼等方式，</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为8分，并按下列规则评分：</w:t>
            </w:r>
          </w:p>
          <w:p w14:paraId="3C5E4578"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住宅建筑地面停车位数量与住宅总套数的比率小于10％，得8分。</w:t>
            </w:r>
          </w:p>
          <w:p w14:paraId="33E6BA62" w14:textId="079BDF78"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公共建筑地面停车占地面积与其总建设用地面积的比率小于8％，得8分。</w:t>
            </w:r>
          </w:p>
        </w:tc>
        <w:tc>
          <w:tcPr>
            <w:tcW w:w="1281" w:type="pct"/>
            <w:vAlign w:val="center"/>
          </w:tcPr>
          <w:p w14:paraId="35890D0E" w14:textId="01D8AE0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本条鼓励建设立体式停车设施节约集约利用土地，提高土地使用效率，让更多的地面空间作为公共活动空间或公共绿地，营造宜居环境。</w:t>
            </w:r>
          </w:p>
        </w:tc>
        <w:tc>
          <w:tcPr>
            <w:tcW w:w="1010" w:type="pct"/>
            <w:vAlign w:val="center"/>
          </w:tcPr>
          <w:p w14:paraId="65C6A88D" w14:textId="77F979FA"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查阅相关设计文件、计算书；评价查阅相关竣工图、计算书。</w:t>
            </w:r>
          </w:p>
        </w:tc>
        <w:tc>
          <w:tcPr>
            <w:tcW w:w="584" w:type="pct"/>
            <w:vAlign w:val="center"/>
          </w:tcPr>
          <w:p w14:paraId="113D1A98" w14:textId="4780AD44"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0D8F52AF" w14:textId="77777777" w:rsidTr="0044598A">
        <w:trPr>
          <w:trHeight w:val="299"/>
        </w:trPr>
        <w:tc>
          <w:tcPr>
            <w:tcW w:w="241" w:type="pct"/>
            <w:vMerge/>
            <w:vAlign w:val="center"/>
          </w:tcPr>
          <w:p w14:paraId="2B977CE2"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6D9EBDCB" w14:textId="2C458541"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4</w:t>
            </w:r>
          </w:p>
        </w:tc>
        <w:tc>
          <w:tcPr>
            <w:tcW w:w="1278" w:type="pct"/>
            <w:vAlign w:val="center"/>
          </w:tcPr>
          <w:p w14:paraId="7098F531" w14:textId="47F11CF0"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优化建筑围护结构的热工性能，</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为15分，并按下列规则评分</w:t>
            </w:r>
          </w:p>
          <w:p w14:paraId="370350EA"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围护结构热工性能比国家现行相关建筑节能设计标准规定的提高幅度达到5％，得5分；达到10％，得10分；达到15％，得15分。</w:t>
            </w:r>
          </w:p>
          <w:p w14:paraId="7DE410D3" w14:textId="1543F202"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建筑供暖空调负荷降低5％，得5分；降低10％，得10分；降</w:t>
            </w:r>
            <w:r w:rsidRPr="00356770">
              <w:rPr>
                <w:rFonts w:asciiTheme="majorEastAsia" w:eastAsiaTheme="majorEastAsia" w:hAnsiTheme="majorEastAsia" w:cstheme="majorEastAsia" w:hint="eastAsia"/>
                <w:color w:val="0D0D0D" w:themeColor="text1" w:themeTint="F2"/>
                <w:szCs w:val="21"/>
              </w:rPr>
              <w:lastRenderedPageBreak/>
              <w:t>低15％，得15分。</w:t>
            </w:r>
          </w:p>
        </w:tc>
        <w:tc>
          <w:tcPr>
            <w:tcW w:w="1281" w:type="pct"/>
            <w:vAlign w:val="center"/>
          </w:tcPr>
          <w:p w14:paraId="6AA7F7C3" w14:textId="77777777"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款，要求就在围护结构热工性能应优于国家现行有关建筑节能设计标准对外墙、屋顶、外窗、幕墙等围护结构主要部位的传热系数 和太阳得热系数 SHGC 的要求。</w:t>
            </w:r>
          </w:p>
          <w:p w14:paraId="48D8E727" w14:textId="77777777"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款，本条款适用</w:t>
            </w:r>
            <w:proofErr w:type="gramStart"/>
            <w:r w:rsidRPr="00356770">
              <w:rPr>
                <w:rFonts w:asciiTheme="majorEastAsia" w:eastAsiaTheme="majorEastAsia" w:hAnsiTheme="majorEastAsia" w:cstheme="majorEastAsia"/>
                <w:color w:val="0D0D0D" w:themeColor="text1" w:themeTint="F2"/>
                <w:szCs w:val="21"/>
              </w:rPr>
              <w:t>千所有</w:t>
            </w:r>
            <w:proofErr w:type="gramEnd"/>
            <w:r w:rsidRPr="00356770">
              <w:rPr>
                <w:rFonts w:asciiTheme="majorEastAsia" w:eastAsiaTheme="majorEastAsia" w:hAnsiTheme="majorEastAsia" w:cstheme="majorEastAsia"/>
                <w:color w:val="0D0D0D" w:themeColor="text1" w:themeTint="F2"/>
                <w:szCs w:val="21"/>
              </w:rPr>
              <w:t>气候区所有建筑类型。特别是对于围护结构没有限值要求的建筑，以及室内发热量（包括人员、设备和灯光等）</w:t>
            </w:r>
            <w:r w:rsidRPr="00356770">
              <w:rPr>
                <w:rFonts w:asciiTheme="majorEastAsia" w:eastAsiaTheme="majorEastAsia" w:hAnsiTheme="majorEastAsia" w:cstheme="majorEastAsia"/>
                <w:color w:val="0D0D0D" w:themeColor="text1" w:themeTint="F2"/>
                <w:szCs w:val="21"/>
              </w:rPr>
              <w:lastRenderedPageBreak/>
              <w:t>超过 40W/而的公共建筑，应优先采用第2</w:t>
            </w:r>
            <w:r w:rsidRPr="00356770">
              <w:rPr>
                <w:rFonts w:asciiTheme="majorEastAsia" w:eastAsiaTheme="majorEastAsia" w:hAnsiTheme="majorEastAsia" w:cstheme="majorEastAsia" w:hint="eastAsia"/>
                <w:color w:val="0D0D0D" w:themeColor="text1" w:themeTint="F2"/>
                <w:szCs w:val="21"/>
              </w:rPr>
              <w:t>款</w:t>
            </w:r>
            <w:r w:rsidRPr="00356770">
              <w:rPr>
                <w:rFonts w:asciiTheme="majorEastAsia" w:eastAsiaTheme="majorEastAsia" w:hAnsiTheme="majorEastAsia" w:cstheme="majorEastAsia"/>
                <w:color w:val="0D0D0D" w:themeColor="text1" w:themeTint="F2"/>
                <w:szCs w:val="21"/>
              </w:rPr>
              <w:t xml:space="preserve">判定。 </w:t>
            </w:r>
          </w:p>
          <w:p w14:paraId="4428B1E9" w14:textId="77777777"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建筑围护结构节能率指的是，与参照 </w:t>
            </w:r>
          </w:p>
          <w:p w14:paraId="683E2350" w14:textId="77777777"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建筑相比，设计建筑通过围护结构热工性能改善而使全年供暖空 </w:t>
            </w:r>
          </w:p>
          <w:p w14:paraId="31666710" w14:textId="32DDB4F1"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调能耗降低的百分数。</w:t>
            </w:r>
          </w:p>
        </w:tc>
        <w:tc>
          <w:tcPr>
            <w:tcW w:w="1010" w:type="pct"/>
            <w:vAlign w:val="center"/>
          </w:tcPr>
          <w:p w14:paraId="38C967D4"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 xml:space="preserve">查阅相关设计文件（设计说明、围护结构施工详图）、节能计算书、建筑围护结构节能率分析报告（第 </w:t>
            </w:r>
            <w:proofErr w:type="gramStart"/>
            <w:r w:rsidRPr="00356770">
              <w:rPr>
                <w:rFonts w:asciiTheme="majorEastAsia" w:eastAsiaTheme="majorEastAsia" w:hAnsiTheme="majorEastAsia" w:cstheme="majorEastAsia"/>
                <w:color w:val="0D0D0D" w:themeColor="text1" w:themeTint="F2"/>
                <w:szCs w:val="21"/>
              </w:rPr>
              <w:t>款评价</w:t>
            </w:r>
            <w:proofErr w:type="gramEnd"/>
            <w:r w:rsidRPr="00356770">
              <w:rPr>
                <w:rFonts w:asciiTheme="majorEastAsia" w:eastAsiaTheme="majorEastAsia" w:hAnsiTheme="majorEastAsia" w:cstheme="majorEastAsia"/>
                <w:color w:val="0D0D0D" w:themeColor="text1" w:themeTint="F2"/>
                <w:szCs w:val="21"/>
              </w:rPr>
              <w:t xml:space="preserve">时）；评价查阅相关竣工图（设计说明、围护结构竣工详图）、节能计算书、建筑围护结构节能率分析报告（第 </w:t>
            </w:r>
          </w:p>
          <w:p w14:paraId="408CA6C1" w14:textId="21A0FB2C"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款评价时）。</w:t>
            </w:r>
          </w:p>
        </w:tc>
        <w:tc>
          <w:tcPr>
            <w:tcW w:w="584" w:type="pct"/>
            <w:vAlign w:val="center"/>
          </w:tcPr>
          <w:p w14:paraId="6EE62110" w14:textId="3208D1AC"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Pr="00356770">
              <w:rPr>
                <w:rFonts w:asciiTheme="majorEastAsia" w:eastAsiaTheme="majorEastAsia" w:hAnsiTheme="majorEastAsia" w:cstheme="majorEastAsia"/>
                <w:color w:val="0D0D0D" w:themeColor="text1" w:themeTint="F2"/>
                <w:szCs w:val="21"/>
              </w:rPr>
              <w:t>+5</w:t>
            </w:r>
          </w:p>
        </w:tc>
      </w:tr>
      <w:tr w:rsidR="00356770" w:rsidRPr="00356770" w14:paraId="0259EE60" w14:textId="77777777" w:rsidTr="0044598A">
        <w:trPr>
          <w:trHeight w:val="299"/>
        </w:trPr>
        <w:tc>
          <w:tcPr>
            <w:tcW w:w="241" w:type="pct"/>
            <w:vMerge/>
            <w:vAlign w:val="center"/>
          </w:tcPr>
          <w:p w14:paraId="5D6CE837"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61577CC" w14:textId="1BE58E70"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5</w:t>
            </w:r>
          </w:p>
        </w:tc>
        <w:tc>
          <w:tcPr>
            <w:tcW w:w="1278" w:type="pct"/>
            <w:vAlign w:val="center"/>
          </w:tcPr>
          <w:p w14:paraId="70A1A393" w14:textId="4C724BA1"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供暖空调系统的冷、热源机组</w:t>
            </w:r>
            <w:proofErr w:type="gramStart"/>
            <w:r w:rsidRPr="00356770">
              <w:rPr>
                <w:rFonts w:asciiTheme="majorEastAsia" w:eastAsiaTheme="majorEastAsia" w:hAnsiTheme="majorEastAsia" w:cstheme="majorEastAsia" w:hint="eastAsia"/>
                <w:color w:val="0D0D0D" w:themeColor="text1" w:themeTint="F2"/>
                <w:szCs w:val="21"/>
              </w:rPr>
              <w:t>能效均</w:t>
            </w:r>
            <w:proofErr w:type="gramEnd"/>
            <w:r w:rsidRPr="00356770">
              <w:rPr>
                <w:rFonts w:asciiTheme="majorEastAsia" w:eastAsiaTheme="majorEastAsia" w:hAnsiTheme="majorEastAsia" w:cstheme="majorEastAsia" w:hint="eastAsia"/>
                <w:color w:val="0D0D0D" w:themeColor="text1" w:themeTint="F2"/>
                <w:szCs w:val="21"/>
              </w:rPr>
              <w:t>优于现行国家标准《公共建筑节能设计标准》GB 50189的规定以及现行有关国家标准能效限定值的要求，</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为10分，按表7.2.5的规则评分。</w:t>
            </w:r>
          </w:p>
        </w:tc>
        <w:tc>
          <w:tcPr>
            <w:tcW w:w="1281" w:type="pct"/>
            <w:vAlign w:val="center"/>
          </w:tcPr>
          <w:p w14:paraId="040D2FC6" w14:textId="27330348"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国家标准《公共建筑节能设计标准》 GB 50189 - 2015 强制性</w:t>
            </w:r>
            <w:proofErr w:type="gramStart"/>
            <w:r w:rsidRPr="00356770">
              <w:rPr>
                <w:rFonts w:asciiTheme="majorEastAsia" w:eastAsiaTheme="majorEastAsia" w:hAnsiTheme="majorEastAsia" w:cstheme="majorEastAsia"/>
                <w:color w:val="0D0D0D" w:themeColor="text1" w:themeTint="F2"/>
                <w:szCs w:val="21"/>
              </w:rPr>
              <w:t>条文第</w:t>
            </w:r>
            <w:proofErr w:type="gramEnd"/>
            <w:r w:rsidRPr="00356770">
              <w:rPr>
                <w:rFonts w:asciiTheme="majorEastAsia" w:eastAsiaTheme="majorEastAsia" w:hAnsiTheme="majorEastAsia" w:cstheme="majorEastAsia"/>
                <w:color w:val="0D0D0D" w:themeColor="text1" w:themeTint="F2"/>
                <w:szCs w:val="21"/>
              </w:rPr>
              <w:t xml:space="preserve"> 4.2.5、第4.2.10 、第 4.2.14 、第4.2.17 和第4.2.19条，分别对锅炉额定热效率、电机驱动的</w:t>
            </w:r>
            <w:proofErr w:type="gramStart"/>
            <w:r w:rsidRPr="00356770">
              <w:rPr>
                <w:rFonts w:asciiTheme="majorEastAsia" w:eastAsiaTheme="majorEastAsia" w:hAnsiTheme="majorEastAsia" w:cstheme="majorEastAsia"/>
                <w:color w:val="0D0D0D" w:themeColor="text1" w:themeTint="F2"/>
                <w:szCs w:val="21"/>
              </w:rPr>
              <w:t>蒸气</w:t>
            </w:r>
            <w:proofErr w:type="gramEnd"/>
            <w:r w:rsidRPr="00356770">
              <w:rPr>
                <w:rFonts w:asciiTheme="majorEastAsia" w:eastAsiaTheme="majorEastAsia" w:hAnsiTheme="majorEastAsia" w:cstheme="majorEastAsia"/>
                <w:color w:val="0D0D0D" w:themeColor="text1" w:themeTint="F2"/>
                <w:szCs w:val="21"/>
              </w:rPr>
              <w:t>压缩循环冷水（热101 泵）机组的性能系数 (COP) 、名义制冷</w:t>
            </w:r>
            <w:proofErr w:type="gramStart"/>
            <w:r w:rsidRPr="00356770">
              <w:rPr>
                <w:rFonts w:asciiTheme="majorEastAsia" w:eastAsiaTheme="majorEastAsia" w:hAnsiTheme="majorEastAsia" w:cstheme="majorEastAsia"/>
                <w:color w:val="0D0D0D" w:themeColor="text1" w:themeTint="F2"/>
                <w:szCs w:val="21"/>
              </w:rPr>
              <w:t>址</w:t>
            </w:r>
            <w:proofErr w:type="gramEnd"/>
            <w:r w:rsidRPr="00356770">
              <w:rPr>
                <w:rFonts w:asciiTheme="majorEastAsia" w:eastAsiaTheme="majorEastAsia" w:hAnsiTheme="majorEastAsia" w:cstheme="majorEastAsia"/>
                <w:color w:val="0D0D0D" w:themeColor="text1" w:themeTint="F2"/>
                <w:szCs w:val="21"/>
              </w:rPr>
              <w:t>大于 7100W 、采用电机驱动压缩机的单元式空气调节机、风管送风式和屋顶式空气调节机组的能效比 CEER) 、多联式空调（热泵）机组的制冷综合性能系数 (JPLV(C)) 、直燃</w:t>
            </w:r>
            <w:proofErr w:type="gramStart"/>
            <w:r w:rsidRPr="00356770">
              <w:rPr>
                <w:rFonts w:asciiTheme="majorEastAsia" w:eastAsiaTheme="majorEastAsia" w:hAnsiTheme="majorEastAsia" w:cstheme="majorEastAsia"/>
                <w:color w:val="0D0D0D" w:themeColor="text1" w:themeTint="F2"/>
                <w:szCs w:val="21"/>
              </w:rPr>
              <w:t>型澳化悝</w:t>
            </w:r>
            <w:proofErr w:type="gramEnd"/>
            <w:r w:rsidRPr="00356770">
              <w:rPr>
                <w:rFonts w:asciiTheme="majorEastAsia" w:eastAsiaTheme="majorEastAsia" w:hAnsiTheme="majorEastAsia" w:cstheme="majorEastAsia"/>
                <w:color w:val="0D0D0D" w:themeColor="text1" w:themeTint="F2"/>
                <w:szCs w:val="21"/>
              </w:rPr>
              <w:t>吸收式冷（温）水机组的性能参数提出了基本要求。本条在此基础上，以比其强制性条文规定值提高百分比（锅炉热效率以百分点）的形式，对包括上述机组在内的供暖空调冷热源机组能源效率提出了更高要求。</w:t>
            </w:r>
          </w:p>
        </w:tc>
        <w:tc>
          <w:tcPr>
            <w:tcW w:w="1010" w:type="pct"/>
            <w:vAlign w:val="center"/>
          </w:tcPr>
          <w:p w14:paraId="08EE6BAA" w14:textId="37D08194"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查阅相关设计文件；评价查阅相关竣工图、主要产品型式检验报告。</w:t>
            </w:r>
          </w:p>
        </w:tc>
        <w:tc>
          <w:tcPr>
            <w:tcW w:w="584" w:type="pct"/>
            <w:vAlign w:val="center"/>
          </w:tcPr>
          <w:p w14:paraId="3DA51D18" w14:textId="17607114"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p>
        </w:tc>
      </w:tr>
      <w:tr w:rsidR="00356770" w:rsidRPr="00356770" w14:paraId="4AFEE927" w14:textId="77777777" w:rsidTr="0044598A">
        <w:trPr>
          <w:trHeight w:val="299"/>
        </w:trPr>
        <w:tc>
          <w:tcPr>
            <w:tcW w:w="241" w:type="pct"/>
            <w:vMerge/>
            <w:vAlign w:val="center"/>
          </w:tcPr>
          <w:p w14:paraId="2D9C82E5"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68566208" w14:textId="2AE45FAC"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6</w:t>
            </w:r>
          </w:p>
        </w:tc>
        <w:tc>
          <w:tcPr>
            <w:tcW w:w="1278" w:type="pct"/>
            <w:vAlign w:val="center"/>
          </w:tcPr>
          <w:p w14:paraId="6B11B2E7" w14:textId="57CC4CF5"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采取有效措施降低供暖空调系统的末端系统及输配系统的能耗，</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为5分，并按以下规则分别评分并累计：</w:t>
            </w:r>
          </w:p>
          <w:p w14:paraId="21092847" w14:textId="036CC728"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1． 通风空调系统</w:t>
            </w:r>
            <w:r w:rsidRPr="00356770">
              <w:rPr>
                <w:rFonts w:asciiTheme="majorEastAsia" w:eastAsiaTheme="majorEastAsia" w:hAnsiTheme="majorEastAsia" w:cstheme="majorEastAsia" w:hint="eastAsia"/>
                <w:color w:val="0D0D0D" w:themeColor="text1" w:themeTint="F2"/>
                <w:szCs w:val="21"/>
              </w:rPr>
              <w:lastRenderedPageBreak/>
              <w:t>风机的单位风量耗功率比现行国家标准《公共建筑节能设计标准》GB 50189的规定低20％，得2分；</w:t>
            </w:r>
          </w:p>
          <w:p w14:paraId="775AF60B" w14:textId="2CAF9E69"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集中供暖系统热水循环泵的耗电</w:t>
            </w:r>
            <w:proofErr w:type="gramStart"/>
            <w:r w:rsidRPr="00356770">
              <w:rPr>
                <w:rFonts w:asciiTheme="majorEastAsia" w:eastAsiaTheme="majorEastAsia" w:hAnsiTheme="majorEastAsia" w:cstheme="majorEastAsia" w:hint="eastAsia"/>
                <w:color w:val="0D0D0D" w:themeColor="text1" w:themeTint="F2"/>
                <w:szCs w:val="21"/>
              </w:rPr>
              <w:t>输热比</w:t>
            </w:r>
            <w:proofErr w:type="gramEnd"/>
            <w:r w:rsidRPr="00356770">
              <w:rPr>
                <w:rFonts w:asciiTheme="majorEastAsia" w:eastAsiaTheme="majorEastAsia" w:hAnsiTheme="majorEastAsia" w:cstheme="majorEastAsia" w:hint="eastAsia"/>
                <w:color w:val="0D0D0D" w:themeColor="text1" w:themeTint="F2"/>
                <w:szCs w:val="21"/>
              </w:rPr>
              <w:t>、空调冷热水系统循环水泵的</w:t>
            </w:r>
            <w:proofErr w:type="gramStart"/>
            <w:r w:rsidRPr="00356770">
              <w:rPr>
                <w:rFonts w:asciiTheme="majorEastAsia" w:eastAsiaTheme="majorEastAsia" w:hAnsiTheme="majorEastAsia" w:cstheme="majorEastAsia" w:hint="eastAsia"/>
                <w:color w:val="0D0D0D" w:themeColor="text1" w:themeTint="F2"/>
                <w:szCs w:val="21"/>
              </w:rPr>
              <w:t>耗电输冷</w:t>
            </w:r>
            <w:proofErr w:type="gramEnd"/>
            <w:r w:rsidRPr="00356770">
              <w:rPr>
                <w:rFonts w:asciiTheme="majorEastAsia" w:eastAsiaTheme="majorEastAsia" w:hAnsiTheme="majorEastAsia" w:cstheme="majorEastAsia" w:hint="eastAsia"/>
                <w:color w:val="0D0D0D" w:themeColor="text1" w:themeTint="F2"/>
                <w:szCs w:val="21"/>
              </w:rPr>
              <w:t>(热)比比现行国家标准《民用建筑供暖通风与空气调节设计规范》GB 50736规定值低20％，得3分。</w:t>
            </w:r>
          </w:p>
          <w:p w14:paraId="54FBBAC0" w14:textId="77777777" w:rsidR="00294D2D" w:rsidRPr="00356770" w:rsidRDefault="00294D2D" w:rsidP="00294D2D">
            <w:pPr>
              <w:rPr>
                <w:rFonts w:asciiTheme="majorEastAsia" w:eastAsiaTheme="majorEastAsia" w:hAnsiTheme="majorEastAsia" w:cstheme="majorEastAsia"/>
                <w:color w:val="0D0D0D" w:themeColor="text1" w:themeTint="F2"/>
                <w:szCs w:val="21"/>
              </w:rPr>
            </w:pPr>
          </w:p>
        </w:tc>
        <w:tc>
          <w:tcPr>
            <w:tcW w:w="1281" w:type="pct"/>
            <w:vAlign w:val="center"/>
          </w:tcPr>
          <w:p w14:paraId="779E046C"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款，对于采用分体空调和多联机空调（热泵）机组的，本款可直接得分，对于设置新风机的项目，新风机</w:t>
            </w:r>
            <w:proofErr w:type="gramStart"/>
            <w:r w:rsidRPr="00356770">
              <w:rPr>
                <w:rFonts w:asciiTheme="majorEastAsia" w:eastAsiaTheme="majorEastAsia" w:hAnsiTheme="majorEastAsia" w:cstheme="majorEastAsia"/>
                <w:color w:val="0D0D0D" w:themeColor="text1" w:themeTint="F2"/>
                <w:szCs w:val="21"/>
              </w:rPr>
              <w:t>需参与</w:t>
            </w:r>
            <w:proofErr w:type="gramEnd"/>
            <w:r w:rsidRPr="00356770">
              <w:rPr>
                <w:rFonts w:asciiTheme="majorEastAsia" w:eastAsiaTheme="majorEastAsia" w:hAnsiTheme="majorEastAsia" w:cstheme="majorEastAsia"/>
                <w:color w:val="0D0D0D" w:themeColor="text1" w:themeTint="F2"/>
                <w:szCs w:val="21"/>
              </w:rPr>
              <w:t>评价；</w:t>
            </w:r>
          </w:p>
          <w:p w14:paraId="58383C87" w14:textId="041C89F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第</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款，对于非集中采</w:t>
            </w:r>
            <w:r w:rsidRPr="00356770">
              <w:rPr>
                <w:rFonts w:asciiTheme="majorEastAsia" w:eastAsiaTheme="majorEastAsia" w:hAnsiTheme="majorEastAsia" w:cstheme="majorEastAsia"/>
                <w:color w:val="0D0D0D" w:themeColor="text1" w:themeTint="F2"/>
                <w:szCs w:val="21"/>
              </w:rPr>
              <w:lastRenderedPageBreak/>
              <w:t>暖空调系统的项目，如分体空调、多联机空调 （热泵）机组、单元式空气调节机等，本款可直接得分。本条主要判断参评项目是否采取了大温差空调制冷系统，或者更高效率的风机、水泵，评价其对输配系统能耗的影响。</w:t>
            </w:r>
          </w:p>
        </w:tc>
        <w:tc>
          <w:tcPr>
            <w:tcW w:w="1010" w:type="pct"/>
            <w:vAlign w:val="center"/>
          </w:tcPr>
          <w:p w14:paraId="0076ECA6" w14:textId="5507E641"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查阅相关设计文件；评价查阅相关竣工图、主要产品型式检验报告。</w:t>
            </w:r>
          </w:p>
        </w:tc>
        <w:tc>
          <w:tcPr>
            <w:tcW w:w="584" w:type="pct"/>
            <w:vAlign w:val="center"/>
          </w:tcPr>
          <w:p w14:paraId="6D615B77" w14:textId="3D7FB9C7"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+3</w:t>
            </w:r>
          </w:p>
        </w:tc>
      </w:tr>
      <w:tr w:rsidR="00356770" w:rsidRPr="00356770" w14:paraId="30905F27" w14:textId="77777777" w:rsidTr="0044598A">
        <w:trPr>
          <w:trHeight w:val="299"/>
        </w:trPr>
        <w:tc>
          <w:tcPr>
            <w:tcW w:w="241" w:type="pct"/>
            <w:vMerge/>
            <w:vAlign w:val="center"/>
          </w:tcPr>
          <w:p w14:paraId="795599A9"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63F4F30C" w14:textId="5A1CB24D"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7</w:t>
            </w:r>
          </w:p>
        </w:tc>
        <w:tc>
          <w:tcPr>
            <w:tcW w:w="1278" w:type="pct"/>
            <w:vAlign w:val="center"/>
          </w:tcPr>
          <w:p w14:paraId="55E57D67" w14:textId="685CDFBC"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采用节能型电气设备及节能控制措施，</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为10分，并按下列规则分别评分并累计：</w:t>
            </w:r>
          </w:p>
          <w:p w14:paraId="6008CCDB"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主要功能房间的照明功率密度值达到现行国家标准《建筑照明设计标准》GB 50034规定的目标值，得5分；</w:t>
            </w:r>
          </w:p>
          <w:p w14:paraId="4CA7D1B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采光区域的人工照明随天然光照度变化自动调节，得2分；</w:t>
            </w:r>
          </w:p>
          <w:p w14:paraId="471D0553" w14:textId="5D2613E1"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照明产品、三相配电变压器、水泵、风机等设备满足国家现行有关标准的节能评价值的要求，得3分。</w:t>
            </w:r>
          </w:p>
        </w:tc>
        <w:tc>
          <w:tcPr>
            <w:tcW w:w="1281" w:type="pct"/>
            <w:vAlign w:val="center"/>
          </w:tcPr>
          <w:p w14:paraId="18D57EE0"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款，要求主要功能房间的照明功率密度值不应高</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 xml:space="preserve">现行国家标准《建筑照明设计标准》 GB 50034 规定的目标值要求。 </w:t>
            </w:r>
          </w:p>
          <w:p w14:paraId="51710C93"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 xml:space="preserve">款，人工照明随天然光照度变化自动调节，不仅可以保证良好的光环境，避免室内产生过高的明暗亮度对比，还能在较大程度上降低照明能耗。 </w:t>
            </w:r>
          </w:p>
          <w:p w14:paraId="3F62258E" w14:textId="78FC3BE4"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款，要求所用配电变压器满足现行国家标准《三相配电变压器能效限定值及能效等级》 GB 20052 规定的节能评价值，油浸式配电变压器、干式配电变压器的空载损耗和负载损耗值均应不高</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能效等级 级的规定。照明产品、水泵、风机等其他电气设备也满足国家现行有关标准的节能评价值。</w:t>
            </w:r>
          </w:p>
        </w:tc>
        <w:tc>
          <w:tcPr>
            <w:tcW w:w="1010" w:type="pct"/>
            <w:vAlign w:val="center"/>
          </w:tcPr>
          <w:p w14:paraId="3347A1B6" w14:textId="2B191D23"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查阅相关设计文件、相关设计说明；评价查阅相关竣工图，相关设计说明、相关产品型式检验报告。</w:t>
            </w:r>
          </w:p>
        </w:tc>
        <w:tc>
          <w:tcPr>
            <w:tcW w:w="584" w:type="pct"/>
            <w:vAlign w:val="center"/>
          </w:tcPr>
          <w:p w14:paraId="5E1396E3" w14:textId="670E43D7"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Pr="00356770">
              <w:rPr>
                <w:rFonts w:asciiTheme="majorEastAsia" w:eastAsiaTheme="majorEastAsia" w:hAnsiTheme="majorEastAsia" w:cstheme="majorEastAsia"/>
                <w:color w:val="0D0D0D" w:themeColor="text1" w:themeTint="F2"/>
                <w:szCs w:val="21"/>
              </w:rPr>
              <w:t>+2+3</w:t>
            </w:r>
          </w:p>
        </w:tc>
      </w:tr>
      <w:tr w:rsidR="00356770" w:rsidRPr="00356770" w14:paraId="7BF491AC" w14:textId="77777777" w:rsidTr="0044598A">
        <w:trPr>
          <w:trHeight w:val="299"/>
        </w:trPr>
        <w:tc>
          <w:tcPr>
            <w:tcW w:w="241" w:type="pct"/>
            <w:vMerge/>
            <w:vAlign w:val="center"/>
          </w:tcPr>
          <w:p w14:paraId="6BFD07A6"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651B66EF" w14:textId="50890C4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8</w:t>
            </w:r>
          </w:p>
        </w:tc>
        <w:tc>
          <w:tcPr>
            <w:tcW w:w="1278" w:type="pct"/>
            <w:vAlign w:val="center"/>
          </w:tcPr>
          <w:p w14:paraId="6748D3EF" w14:textId="5047D384"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采取措施降低建筑能耗，</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为10分。建筑能耗相比国家现行有关建筑节能标准降低10％，得5</w:t>
            </w:r>
            <w:r w:rsidRPr="00356770">
              <w:rPr>
                <w:rFonts w:asciiTheme="majorEastAsia" w:eastAsiaTheme="majorEastAsia" w:hAnsiTheme="majorEastAsia" w:cstheme="majorEastAsia" w:hint="eastAsia"/>
                <w:color w:val="0D0D0D" w:themeColor="text1" w:themeTint="F2"/>
                <w:szCs w:val="21"/>
              </w:rPr>
              <w:lastRenderedPageBreak/>
              <w:t>分；降低20％，得10分。</w:t>
            </w:r>
          </w:p>
        </w:tc>
        <w:tc>
          <w:tcPr>
            <w:tcW w:w="1281" w:type="pct"/>
            <w:vAlign w:val="center"/>
          </w:tcPr>
          <w:p w14:paraId="6FF7745A" w14:textId="3365F686"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由</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供暖空调和照明系统能耗是建筑的主要能耗，所以</w:t>
            </w: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和投入使用前的评价可计算建筑的供暖空调和照明系</w:t>
            </w:r>
            <w:r w:rsidRPr="00356770">
              <w:rPr>
                <w:rFonts w:asciiTheme="majorEastAsia" w:eastAsiaTheme="majorEastAsia" w:hAnsiTheme="majorEastAsia" w:cstheme="majorEastAsia"/>
                <w:color w:val="0D0D0D" w:themeColor="text1" w:themeTint="F2"/>
                <w:szCs w:val="21"/>
              </w:rPr>
              <w:lastRenderedPageBreak/>
              <w:t>统能耗并进行比较，即根据</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标准《民用建筑绿色性能计算标准》 JGJ/T449 的相关规定，分别计算设计建筑及满足国家现行建筑节能设计标准规定的参照建筑的供暖空调能耗和照明系统能耗，计算其节能率并进行得分判定。</w:t>
            </w:r>
          </w:p>
        </w:tc>
        <w:tc>
          <w:tcPr>
            <w:tcW w:w="1010" w:type="pct"/>
            <w:vAlign w:val="center"/>
          </w:tcPr>
          <w:p w14:paraId="7D7F932A"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查阅相关设计文件（暖通、电气、内</w:t>
            </w:r>
            <w:proofErr w:type="gramStart"/>
            <w:r w:rsidRPr="00356770">
              <w:rPr>
                <w:rFonts w:asciiTheme="majorEastAsia" w:eastAsiaTheme="majorEastAsia" w:hAnsiTheme="majorEastAsia" w:cstheme="majorEastAsia"/>
                <w:color w:val="0D0D0D" w:themeColor="text1" w:themeTint="F2"/>
                <w:szCs w:val="21"/>
              </w:rPr>
              <w:t>装专业</w:t>
            </w:r>
            <w:proofErr w:type="gramEnd"/>
            <w:r w:rsidRPr="00356770">
              <w:rPr>
                <w:rFonts w:asciiTheme="majorEastAsia" w:eastAsiaTheme="majorEastAsia" w:hAnsiTheme="majorEastAsia" w:cstheme="majorEastAsia"/>
                <w:color w:val="0D0D0D" w:themeColor="text1" w:themeTint="F2"/>
                <w:szCs w:val="21"/>
              </w:rPr>
              <w:t>施工图纸及设计说明）、建筑暖通及</w:t>
            </w:r>
            <w:r w:rsidRPr="00356770">
              <w:rPr>
                <w:rFonts w:asciiTheme="majorEastAsia" w:eastAsiaTheme="majorEastAsia" w:hAnsiTheme="majorEastAsia" w:cstheme="majorEastAsia"/>
                <w:color w:val="0D0D0D" w:themeColor="text1" w:themeTint="F2"/>
                <w:szCs w:val="21"/>
              </w:rPr>
              <w:lastRenderedPageBreak/>
              <w:t xml:space="preserve">照明系统能耗模拟计算书；评价查阅相关竣工图，建筑暖通系统及照明系统能 </w:t>
            </w:r>
          </w:p>
          <w:p w14:paraId="03379C8E" w14:textId="223DAF1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耗模拟计算书、暖通系统运行调试记录等，投入使用的项目尚应查阅建筑运行能耗统计数据。</w:t>
            </w:r>
          </w:p>
        </w:tc>
        <w:tc>
          <w:tcPr>
            <w:tcW w:w="584" w:type="pct"/>
            <w:vAlign w:val="center"/>
          </w:tcPr>
          <w:p w14:paraId="077DB0CE" w14:textId="294D7F20"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0</w:t>
            </w:r>
          </w:p>
        </w:tc>
      </w:tr>
      <w:tr w:rsidR="00356770" w:rsidRPr="00356770" w14:paraId="027AE752" w14:textId="77777777" w:rsidTr="0044598A">
        <w:trPr>
          <w:trHeight w:val="299"/>
        </w:trPr>
        <w:tc>
          <w:tcPr>
            <w:tcW w:w="241" w:type="pct"/>
            <w:vMerge/>
            <w:vAlign w:val="center"/>
          </w:tcPr>
          <w:p w14:paraId="2B2E5174"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2AF7A9A8" w14:textId="4B112046"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9</w:t>
            </w:r>
          </w:p>
        </w:tc>
        <w:tc>
          <w:tcPr>
            <w:tcW w:w="1278" w:type="pct"/>
            <w:vAlign w:val="center"/>
          </w:tcPr>
          <w:p w14:paraId="7A3455B0" w14:textId="6E8A4545"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结合当地气候和自然资源条件合理利用可再生能源，</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为10分，按表7.2.9的规则评分。</w:t>
            </w:r>
          </w:p>
        </w:tc>
        <w:tc>
          <w:tcPr>
            <w:tcW w:w="1281" w:type="pct"/>
            <w:vAlign w:val="center"/>
          </w:tcPr>
          <w:p w14:paraId="44C841F7" w14:textId="3FAD227A"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公共建筑以及采用公共洗浴形式的住宅建筑，评价时应计算可再生能源对生活热水的设计小时供热量与生活热水的设计小时加热耗热量。对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夏热冬冷、夏热冬暖、温和地区存在稳定热水需求的住宅建筑或公共建筑，若采用高效的空气源热泵提供生活热水，满足国家标准《公共建筑节能设计标准》 GB 50189 - 2015 中第5.3.3条的要求，也可在本条得分。</w:t>
            </w:r>
          </w:p>
        </w:tc>
        <w:tc>
          <w:tcPr>
            <w:tcW w:w="1010" w:type="pct"/>
            <w:vAlign w:val="center"/>
          </w:tcPr>
          <w:p w14:paraId="5197727A" w14:textId="3372D082"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查阅相关设计文件、计算分析报告；评价查阅相关竣工图、计算分析报告、产品型式检验报告。</w:t>
            </w:r>
          </w:p>
        </w:tc>
        <w:tc>
          <w:tcPr>
            <w:tcW w:w="584" w:type="pct"/>
            <w:vAlign w:val="center"/>
          </w:tcPr>
          <w:p w14:paraId="3A0F92AE" w14:textId="6FD13159"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+2+2</w:t>
            </w:r>
          </w:p>
        </w:tc>
      </w:tr>
      <w:tr w:rsidR="00356770" w:rsidRPr="00356770" w14:paraId="064650E8" w14:textId="77777777" w:rsidTr="0044598A">
        <w:trPr>
          <w:trHeight w:val="299"/>
        </w:trPr>
        <w:tc>
          <w:tcPr>
            <w:tcW w:w="241" w:type="pct"/>
            <w:vMerge/>
            <w:vAlign w:val="center"/>
          </w:tcPr>
          <w:p w14:paraId="3C1D710D"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5086D5E4" w14:textId="01E42D88"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10</w:t>
            </w:r>
          </w:p>
        </w:tc>
        <w:tc>
          <w:tcPr>
            <w:tcW w:w="1278" w:type="pct"/>
            <w:vAlign w:val="center"/>
          </w:tcPr>
          <w:p w14:paraId="034430BB" w14:textId="6F0AB878"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使用较高用水效率等级的卫生器具，</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为15分，并按下列规则评分：</w:t>
            </w:r>
          </w:p>
          <w:p w14:paraId="6A0E1B3F"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全部卫生器具的用水效率等级达到2级，得8分。</w:t>
            </w:r>
          </w:p>
          <w:p w14:paraId="3A382B43"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50％以上卫生器具的用水效率等级达到1级且其他达到2级，得12分。</w:t>
            </w:r>
          </w:p>
          <w:p w14:paraId="5FC86152" w14:textId="17E07EFC"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全部卫生器具的用水效率等级达到1级，得15分。</w:t>
            </w:r>
          </w:p>
        </w:tc>
        <w:tc>
          <w:tcPr>
            <w:tcW w:w="1281" w:type="pct"/>
            <w:vAlign w:val="center"/>
          </w:tcPr>
          <w:p w14:paraId="254A6A4C" w14:textId="7A576841"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在设计文件中要注明对卫生器具的节水要求和相应的参数或标准。当存在不同用水效率等级的卫生器具时，按满足最低等级的要求得分。有用水效率相关标准的卫生器具全部采用达到相应用水效率等级的产品时，方可</w:t>
            </w:r>
            <w:proofErr w:type="gramStart"/>
            <w:r w:rsidRPr="00356770">
              <w:rPr>
                <w:rFonts w:asciiTheme="majorEastAsia" w:eastAsiaTheme="majorEastAsia" w:hAnsiTheme="majorEastAsia" w:cstheme="majorEastAsia"/>
                <w:color w:val="0D0D0D" w:themeColor="text1" w:themeTint="F2"/>
                <w:szCs w:val="21"/>
              </w:rPr>
              <w:t>认定第</w:t>
            </w:r>
            <w:proofErr w:type="gramEnd"/>
            <w:r w:rsidRPr="00356770">
              <w:rPr>
                <w:rFonts w:asciiTheme="majorEastAsia" w:eastAsiaTheme="majorEastAsia" w:hAnsiTheme="majorEastAsia" w:cstheme="majorEastAsia"/>
                <w:color w:val="0D0D0D" w:themeColor="text1" w:themeTint="F2"/>
                <w:szCs w:val="21"/>
              </w:rPr>
              <w:t xml:space="preserve"> 款或第 款得分；有用水效率相关标准的卫生器具中， 50%以上数量的器具采用达到用水效率等级的产品且其他达到级时，方可</w:t>
            </w:r>
            <w:proofErr w:type="gramStart"/>
            <w:r w:rsidRPr="00356770">
              <w:rPr>
                <w:rFonts w:asciiTheme="majorEastAsia" w:eastAsiaTheme="majorEastAsia" w:hAnsiTheme="majorEastAsia" w:cstheme="majorEastAsia"/>
                <w:color w:val="0D0D0D" w:themeColor="text1" w:themeTint="F2"/>
                <w:szCs w:val="21"/>
              </w:rPr>
              <w:t>认定第款</w:t>
            </w:r>
            <w:proofErr w:type="gramEnd"/>
            <w:r w:rsidRPr="00356770">
              <w:rPr>
                <w:rFonts w:asciiTheme="majorEastAsia" w:eastAsiaTheme="majorEastAsia" w:hAnsiTheme="majorEastAsia" w:cstheme="majorEastAsia"/>
                <w:color w:val="0D0D0D" w:themeColor="text1" w:themeTint="F2"/>
                <w:szCs w:val="21"/>
              </w:rPr>
              <w:t>得分。今后当其他用水器具出台了相应标准时，按同样的原则进行要</w:t>
            </w:r>
            <w:r w:rsidRPr="00356770">
              <w:rPr>
                <w:rFonts w:asciiTheme="majorEastAsia" w:eastAsiaTheme="majorEastAsia" w:hAnsiTheme="majorEastAsia" w:cstheme="majorEastAsia"/>
                <w:color w:val="0D0D0D" w:themeColor="text1" w:themeTint="F2"/>
                <w:szCs w:val="21"/>
              </w:rPr>
              <w:lastRenderedPageBreak/>
              <w:t>求。</w:t>
            </w:r>
          </w:p>
        </w:tc>
        <w:tc>
          <w:tcPr>
            <w:tcW w:w="1010" w:type="pct"/>
            <w:vAlign w:val="center"/>
          </w:tcPr>
          <w:p w14:paraId="56B5EC2F"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查阅相关设计文件、产品说明书（</w:t>
            </w:r>
            <w:proofErr w:type="gramStart"/>
            <w:r w:rsidRPr="00356770">
              <w:rPr>
                <w:rFonts w:asciiTheme="majorEastAsia" w:eastAsiaTheme="majorEastAsia" w:hAnsiTheme="majorEastAsia" w:cstheme="majorEastAsia"/>
                <w:color w:val="0D0D0D" w:themeColor="text1" w:themeTint="F2"/>
                <w:szCs w:val="21"/>
              </w:rPr>
              <w:t>含相关</w:t>
            </w:r>
            <w:proofErr w:type="gramEnd"/>
            <w:r w:rsidRPr="00356770">
              <w:rPr>
                <w:rFonts w:asciiTheme="majorEastAsia" w:eastAsiaTheme="majorEastAsia" w:hAnsiTheme="majorEastAsia" w:cstheme="majorEastAsia"/>
                <w:color w:val="0D0D0D" w:themeColor="text1" w:themeTint="F2"/>
                <w:szCs w:val="21"/>
              </w:rPr>
              <w:t xml:space="preserve">节水器具的性能参数要求）；评价查阅相关竣工图纸、设 </w:t>
            </w:r>
          </w:p>
          <w:p w14:paraId="32DCA17A" w14:textId="1C32A290"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计说明、产品说明书、产品节水性能检测报告。</w:t>
            </w:r>
          </w:p>
        </w:tc>
        <w:tc>
          <w:tcPr>
            <w:tcW w:w="584" w:type="pct"/>
            <w:vAlign w:val="center"/>
          </w:tcPr>
          <w:p w14:paraId="552BA42E" w14:textId="6106FB1F"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2</w:t>
            </w:r>
          </w:p>
        </w:tc>
      </w:tr>
      <w:tr w:rsidR="00356770" w:rsidRPr="00356770" w14:paraId="293F1442" w14:textId="77777777" w:rsidTr="0044598A">
        <w:trPr>
          <w:trHeight w:val="299"/>
        </w:trPr>
        <w:tc>
          <w:tcPr>
            <w:tcW w:w="241" w:type="pct"/>
            <w:vMerge/>
            <w:vAlign w:val="center"/>
          </w:tcPr>
          <w:p w14:paraId="7BC9E0E6"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0AC5D656" w14:textId="095E7B0E"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11</w:t>
            </w:r>
          </w:p>
        </w:tc>
        <w:tc>
          <w:tcPr>
            <w:tcW w:w="1278" w:type="pct"/>
            <w:vAlign w:val="center"/>
          </w:tcPr>
          <w:p w14:paraId="7BDF581C" w14:textId="06476C58"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绿化灌溉及空调冷却水系统采用节水设备或技术，</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为12分，并按下列规则分别评分并累计：</w:t>
            </w:r>
          </w:p>
          <w:p w14:paraId="42443025" w14:textId="77E3ABCF"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1．绿化灌溉采用节水设备或技术，并按下列规则评分：</w:t>
            </w:r>
          </w:p>
          <w:p w14:paraId="4CF7CC97"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1)采用节水灌溉系统，得4分。</w:t>
            </w:r>
          </w:p>
          <w:p w14:paraId="59708BD4"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2)在采用节水灌溉系统的基础上，设置土壤湿度感应器、雨天自动关闭装置等节水控制措施，或种植无须永久灌溉植物，得6分。</w:t>
            </w:r>
          </w:p>
          <w:p w14:paraId="4DB12F16" w14:textId="03F42E83"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2．空调冷却水系统采用节水设备或技术，并按下列规则评分：</w:t>
            </w:r>
          </w:p>
          <w:p w14:paraId="21684E7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1)循环冷却水系统采取设置水处理措施、加大集水盘、设置平衡管或平衡水箱等方式，避免冷却水泵停泵时冷却水溢出，得3分。</w:t>
            </w:r>
          </w:p>
          <w:p w14:paraId="62BC619B" w14:textId="3997CFAD"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2)采用无蒸发耗水量的冷却技术，得6分。</w:t>
            </w:r>
          </w:p>
        </w:tc>
        <w:tc>
          <w:tcPr>
            <w:tcW w:w="1281" w:type="pct"/>
            <w:vAlign w:val="center"/>
          </w:tcPr>
          <w:p w14:paraId="1006F784" w14:textId="77777777"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 xml:space="preserve">款，绿化灌溉应采用喷灌、微灌等节水灌溉方式，同时还可采用土壤湿度传感器或雨天自动关闭等节水控制方式。采用再生水灌溉时，因水中微生物在空气中极易传播，应避免采用喷灌方式。微灌包括滴灌、微喷灌、涌流灌和地下渗灌。 </w:t>
            </w:r>
          </w:p>
          <w:p w14:paraId="76524A5B" w14:textId="77777777"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一年之内移走。</w:t>
            </w:r>
          </w:p>
          <w:p w14:paraId="6FF95245" w14:textId="4DFB893B"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款，公共建筑集中空调系统的冷却水补水量占据建筑物用水量的 30%~50%, 减少冷却水系统不必要的耗水对整个建筑物的节水意义重大。</w:t>
            </w:r>
            <w:proofErr w:type="gramStart"/>
            <w:r w:rsidRPr="00356770">
              <w:rPr>
                <w:rFonts w:asciiTheme="majorEastAsia" w:eastAsiaTheme="majorEastAsia" w:hAnsiTheme="majorEastAsia" w:cstheme="majorEastAsia"/>
                <w:color w:val="0D0D0D" w:themeColor="text1" w:themeTint="F2"/>
                <w:szCs w:val="21"/>
              </w:rPr>
              <w:t>开式</w:t>
            </w:r>
            <w:proofErr w:type="gramEnd"/>
            <w:r w:rsidRPr="00356770">
              <w:rPr>
                <w:rFonts w:asciiTheme="majorEastAsia" w:eastAsiaTheme="majorEastAsia" w:hAnsiTheme="majorEastAsia" w:cstheme="majorEastAsia"/>
                <w:color w:val="0D0D0D" w:themeColor="text1" w:themeTint="F2"/>
                <w:szCs w:val="21"/>
              </w:rPr>
              <w:t>循环冷却水系统或闭式冷却塔的喷淋水系统可设置水处理装置和化学加药装置改善水质，减少排污耗水量；可采取加大集水盘、设置平衡管或平衡水箱等方式，相对加大冷却塔集水盘</w:t>
            </w:r>
            <w:proofErr w:type="gramStart"/>
            <w:r w:rsidRPr="00356770">
              <w:rPr>
                <w:rFonts w:asciiTheme="majorEastAsia" w:eastAsiaTheme="majorEastAsia" w:hAnsiTheme="majorEastAsia" w:cstheme="majorEastAsia"/>
                <w:color w:val="0D0D0D" w:themeColor="text1" w:themeTint="F2"/>
                <w:szCs w:val="21"/>
              </w:rPr>
              <w:t>浮球阀至溢流</w:t>
            </w:r>
            <w:proofErr w:type="gramEnd"/>
            <w:r w:rsidRPr="00356770">
              <w:rPr>
                <w:rFonts w:asciiTheme="majorEastAsia" w:eastAsiaTheme="majorEastAsia" w:hAnsiTheme="majorEastAsia" w:cstheme="majorEastAsia"/>
                <w:color w:val="0D0D0D" w:themeColor="text1" w:themeTint="F2"/>
                <w:szCs w:val="21"/>
              </w:rPr>
              <w:t>口段的容积，避免停泵时的泄水和启泵时的补水浪费。</w:t>
            </w:r>
          </w:p>
        </w:tc>
        <w:tc>
          <w:tcPr>
            <w:tcW w:w="1010" w:type="pct"/>
            <w:vAlign w:val="center"/>
          </w:tcPr>
          <w:p w14:paraId="5D933FD5" w14:textId="77777777" w:rsidR="00294D2D" w:rsidRPr="00356770" w:rsidRDefault="00294D2D" w:rsidP="00294D2D">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查阅相关设计图纸、设计说明（</w:t>
            </w:r>
            <w:proofErr w:type="gramStart"/>
            <w:r w:rsidRPr="00356770">
              <w:rPr>
                <w:rFonts w:asciiTheme="majorEastAsia" w:eastAsiaTheme="majorEastAsia" w:hAnsiTheme="majorEastAsia" w:cstheme="majorEastAsia"/>
                <w:color w:val="0D0D0D" w:themeColor="text1" w:themeTint="F2"/>
                <w:szCs w:val="21"/>
              </w:rPr>
              <w:t>含相关</w:t>
            </w:r>
            <w:proofErr w:type="gramEnd"/>
            <w:r w:rsidRPr="00356770">
              <w:rPr>
                <w:rFonts w:asciiTheme="majorEastAsia" w:eastAsiaTheme="majorEastAsia" w:hAnsiTheme="majorEastAsia" w:cstheme="majorEastAsia"/>
                <w:color w:val="0D0D0D" w:themeColor="text1" w:themeTint="F2"/>
                <w:szCs w:val="21"/>
              </w:rPr>
              <w:t xml:space="preserve">节水产品的设备材料表、冷却节水措施说明）、产品说明 </w:t>
            </w:r>
          </w:p>
          <w:p w14:paraId="4AD60E89" w14:textId="7504C031"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书等；评价查阅设计说明、相关竣工图、产品说明书、产品节水性能检测报告、节水产品说明书等。</w:t>
            </w:r>
          </w:p>
        </w:tc>
        <w:tc>
          <w:tcPr>
            <w:tcW w:w="584" w:type="pct"/>
            <w:vAlign w:val="center"/>
          </w:tcPr>
          <w:p w14:paraId="10F88626" w14:textId="63084F4C" w:rsidR="00294D2D" w:rsidRPr="00356770" w:rsidRDefault="00D86C96" w:rsidP="00294D2D">
            <w:pPr>
              <w:jc w:val="center"/>
              <w:rPr>
                <w:rFonts w:asciiTheme="majorEastAsia" w:eastAsiaTheme="majorEastAsia" w:hAnsiTheme="majorEastAsia" w:cstheme="majorEastAsia" w:hint="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4+6+3+</w:t>
            </w:r>
            <w:r w:rsidRPr="00356770">
              <w:rPr>
                <w:rFonts w:asciiTheme="majorEastAsia" w:eastAsiaTheme="majorEastAsia" w:hAnsiTheme="majorEastAsia" w:cstheme="majorEastAsia" w:hint="eastAsia"/>
                <w:color w:val="0D0D0D" w:themeColor="text1" w:themeTint="F2"/>
                <w:szCs w:val="21"/>
              </w:rPr>
              <w:t>6</w:t>
            </w:r>
          </w:p>
        </w:tc>
      </w:tr>
      <w:tr w:rsidR="00356770" w:rsidRPr="00356770" w14:paraId="335C820B" w14:textId="77777777" w:rsidTr="0044598A">
        <w:trPr>
          <w:trHeight w:val="299"/>
        </w:trPr>
        <w:tc>
          <w:tcPr>
            <w:tcW w:w="241" w:type="pct"/>
            <w:vMerge/>
            <w:vAlign w:val="center"/>
          </w:tcPr>
          <w:p w14:paraId="12DA7BDC"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62CE5381" w14:textId="7E2CD8CB"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12</w:t>
            </w:r>
          </w:p>
        </w:tc>
        <w:tc>
          <w:tcPr>
            <w:tcW w:w="1278" w:type="pct"/>
            <w:vAlign w:val="center"/>
          </w:tcPr>
          <w:p w14:paraId="45CC8628" w14:textId="49A90106"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结合雨水综合利用设施营造室外景观水体，室外景观水体利</w:t>
            </w:r>
            <w:r w:rsidRPr="00356770">
              <w:rPr>
                <w:rFonts w:asciiTheme="majorEastAsia" w:eastAsiaTheme="majorEastAsia" w:hAnsiTheme="majorEastAsia" w:cstheme="majorEastAsia" w:hint="eastAsia"/>
                <w:color w:val="0D0D0D" w:themeColor="text1" w:themeTint="F2"/>
                <w:szCs w:val="21"/>
              </w:rPr>
              <w:lastRenderedPageBreak/>
              <w:t>用雨水的补水量大于水体蒸发量的60％，且采用保障水体水质的生态水处理技术，</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为8分，并按下列规则分别评分并累计：</w:t>
            </w:r>
          </w:p>
          <w:p w14:paraId="524391AF"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对进入室外景观水体的雨水，利用生态设施削减径流污染，得4分；</w:t>
            </w:r>
          </w:p>
          <w:p w14:paraId="206658A0" w14:textId="0538C8A9"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利用水生动、植物保障室外景观水体水质，得4分。</w:t>
            </w:r>
          </w:p>
        </w:tc>
        <w:tc>
          <w:tcPr>
            <w:tcW w:w="1281" w:type="pct"/>
            <w:vAlign w:val="center"/>
          </w:tcPr>
          <w:p w14:paraId="1162C706" w14:textId="73992E2D"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本条要求利用雨水提供的补水量大于水体蒸发量的 60%,亦即采用除</w:t>
            </w:r>
            <w:r w:rsidRPr="00356770">
              <w:rPr>
                <w:rFonts w:asciiTheme="majorEastAsia" w:eastAsiaTheme="majorEastAsia" w:hAnsiTheme="majorEastAsia" w:cstheme="majorEastAsia"/>
                <w:color w:val="0D0D0D" w:themeColor="text1" w:themeTint="F2"/>
                <w:szCs w:val="21"/>
              </w:rPr>
              <w:lastRenderedPageBreak/>
              <w:t>雨水外的其他水源对景观水体补水的量不得大于水体蒸发量的 40% 。设计时应做好景观水体补水量和水体蒸发量的水量平衡景观水体的补水管应单独设置水表，不得与绿化用水、道路冲洗用水合用水表。景观水体的水质根据水景补水水源和功能性质不同，应不低</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国家现行标准的相关要求，具体水质标准详见本</w:t>
            </w:r>
            <w:proofErr w:type="gramStart"/>
            <w:r w:rsidRPr="00356770">
              <w:rPr>
                <w:rFonts w:asciiTheme="majorEastAsia" w:eastAsiaTheme="majorEastAsia" w:hAnsiTheme="majorEastAsia" w:cstheme="majorEastAsia"/>
                <w:color w:val="0D0D0D" w:themeColor="text1" w:themeTint="F2"/>
                <w:szCs w:val="21"/>
              </w:rPr>
              <w:t>标准第</w:t>
            </w:r>
            <w:proofErr w:type="gramEnd"/>
            <w:r w:rsidRPr="00356770">
              <w:rPr>
                <w:rFonts w:asciiTheme="majorEastAsia" w:eastAsiaTheme="majorEastAsia" w:hAnsiTheme="majorEastAsia" w:cstheme="majorEastAsia"/>
                <w:color w:val="0D0D0D" w:themeColor="text1" w:themeTint="F2"/>
                <w:szCs w:val="21"/>
              </w:rPr>
              <w:t xml:space="preserve"> 5.2.4条。景观水体的水质保障应采用生态水处理技术，在雨水进入景观水体之前充分利用植物和土壤渗滤作用削减径流污染，通过采用非硬质池底及生态驳岸，为水生动植物提供栖息条件，通过水生动植物对水体进行净化；必要时可采取其他辅助手段对水体进行净化，保障水体水质安全。</w:t>
            </w:r>
          </w:p>
        </w:tc>
        <w:tc>
          <w:tcPr>
            <w:tcW w:w="1010" w:type="pct"/>
            <w:vAlign w:val="center"/>
          </w:tcPr>
          <w:p w14:paraId="1579DCF1" w14:textId="524E14A1"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w:t>
            </w:r>
            <w:proofErr w:type="gramStart"/>
            <w:r w:rsidRPr="00356770">
              <w:rPr>
                <w:rFonts w:asciiTheme="majorEastAsia" w:eastAsiaTheme="majorEastAsia" w:hAnsiTheme="majorEastAsia" w:cstheme="majorEastAsia"/>
                <w:color w:val="0D0D0D" w:themeColor="text1" w:themeTint="F2"/>
                <w:szCs w:val="21"/>
              </w:rPr>
              <w:t>含总平面图</w:t>
            </w:r>
            <w:proofErr w:type="gramEnd"/>
            <w:r w:rsidRPr="00356770">
              <w:rPr>
                <w:rFonts w:asciiTheme="majorEastAsia" w:eastAsiaTheme="majorEastAsia" w:hAnsiTheme="majorEastAsia" w:cstheme="majorEastAsia"/>
                <w:color w:val="0D0D0D" w:themeColor="text1" w:themeTint="F2"/>
                <w:szCs w:val="21"/>
              </w:rPr>
              <w:t>竖向、室</w:t>
            </w:r>
            <w:r w:rsidRPr="00356770">
              <w:rPr>
                <w:rFonts w:asciiTheme="majorEastAsia" w:eastAsiaTheme="majorEastAsia" w:hAnsiTheme="majorEastAsia" w:cstheme="majorEastAsia"/>
                <w:color w:val="0D0D0D" w:themeColor="text1" w:themeTint="F2"/>
                <w:szCs w:val="21"/>
              </w:rPr>
              <w:lastRenderedPageBreak/>
              <w:t>内外给排水施工图、水景详图等），水量平衡计算书；评价查阅相关竣工图，计算书，景观水体补水用水计量运行记录，景观水体水质检测报告等。</w:t>
            </w:r>
          </w:p>
        </w:tc>
        <w:tc>
          <w:tcPr>
            <w:tcW w:w="584" w:type="pct"/>
            <w:vAlign w:val="center"/>
          </w:tcPr>
          <w:p w14:paraId="7F1DC005" w14:textId="4D5EFA08"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4</w:t>
            </w:r>
            <w:r w:rsidRPr="00356770">
              <w:rPr>
                <w:rFonts w:asciiTheme="majorEastAsia" w:eastAsiaTheme="majorEastAsia" w:hAnsiTheme="majorEastAsia" w:cstheme="majorEastAsia"/>
                <w:color w:val="0D0D0D" w:themeColor="text1" w:themeTint="F2"/>
                <w:szCs w:val="21"/>
              </w:rPr>
              <w:t>+4</w:t>
            </w:r>
          </w:p>
        </w:tc>
      </w:tr>
      <w:tr w:rsidR="00356770" w:rsidRPr="00356770" w14:paraId="41251EA2" w14:textId="77777777" w:rsidTr="0044598A">
        <w:trPr>
          <w:trHeight w:val="299"/>
        </w:trPr>
        <w:tc>
          <w:tcPr>
            <w:tcW w:w="241" w:type="pct"/>
            <w:vMerge/>
            <w:vAlign w:val="center"/>
          </w:tcPr>
          <w:p w14:paraId="7388D22E"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62F42F36" w14:textId="1172E804"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13</w:t>
            </w:r>
          </w:p>
        </w:tc>
        <w:tc>
          <w:tcPr>
            <w:tcW w:w="1278" w:type="pct"/>
            <w:vAlign w:val="center"/>
          </w:tcPr>
          <w:p w14:paraId="40C4440D" w14:textId="568D5CDF"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使用非传统水源，</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为15分，并按下列规则分别评分并累计：</w:t>
            </w:r>
          </w:p>
          <w:p w14:paraId="447375B2"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绿化灌溉、车库及道路冲洗、洗车用水采用非传统水源的用水量占其总用水量的比例不低于40％，得3分；不低于60％，得5分；</w:t>
            </w:r>
          </w:p>
          <w:p w14:paraId="1C7718B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冲厕采用非传统水源的用水量占其总用水量的比例不低于30％，得3分；不低于50％，得5分；</w:t>
            </w:r>
          </w:p>
          <w:p w14:paraId="1FFCD3CB"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冷却水补</w:t>
            </w:r>
            <w:proofErr w:type="gramStart"/>
            <w:r w:rsidRPr="00356770">
              <w:rPr>
                <w:rFonts w:asciiTheme="majorEastAsia" w:eastAsiaTheme="majorEastAsia" w:hAnsiTheme="majorEastAsia" w:cstheme="majorEastAsia" w:hint="eastAsia"/>
                <w:color w:val="0D0D0D" w:themeColor="text1" w:themeTint="F2"/>
                <w:szCs w:val="21"/>
              </w:rPr>
              <w:t>水采</w:t>
            </w:r>
            <w:proofErr w:type="gramEnd"/>
            <w:r w:rsidRPr="00356770">
              <w:rPr>
                <w:rFonts w:asciiTheme="majorEastAsia" w:eastAsiaTheme="majorEastAsia" w:hAnsiTheme="majorEastAsia" w:cstheme="majorEastAsia" w:hint="eastAsia"/>
                <w:color w:val="0D0D0D" w:themeColor="text1" w:themeTint="F2"/>
                <w:szCs w:val="21"/>
              </w:rPr>
              <w:t>用非传统水源的用水量占其总用水量的比例不</w:t>
            </w:r>
            <w:r w:rsidRPr="00356770">
              <w:rPr>
                <w:rFonts w:asciiTheme="majorEastAsia" w:eastAsiaTheme="majorEastAsia" w:hAnsiTheme="majorEastAsia" w:cstheme="majorEastAsia" w:hint="eastAsia"/>
                <w:color w:val="0D0D0D" w:themeColor="text1" w:themeTint="F2"/>
                <w:szCs w:val="21"/>
              </w:rPr>
              <w:lastRenderedPageBreak/>
              <w:t>低于20％，得3分；不低于40％，得5分。</w:t>
            </w:r>
          </w:p>
          <w:p w14:paraId="4CC4183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p>
        </w:tc>
        <w:tc>
          <w:tcPr>
            <w:tcW w:w="1281" w:type="pct"/>
            <w:vAlign w:val="center"/>
          </w:tcPr>
          <w:p w14:paraId="4155D103"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非传统水源指不同</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传统地表水供水和地下水供水的水源，包括再生水、雨水、海水等，再生水又分市政再生水和建筑中水。</w:t>
            </w:r>
          </w:p>
          <w:p w14:paraId="144037C2"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“采用非传统水源的用水量占其总用水量的比例”指项目某部分杂用</w:t>
            </w:r>
            <w:proofErr w:type="gramStart"/>
            <w:r w:rsidRPr="00356770">
              <w:rPr>
                <w:rFonts w:asciiTheme="majorEastAsia" w:eastAsiaTheme="majorEastAsia" w:hAnsiTheme="majorEastAsia" w:cstheme="majorEastAsia"/>
                <w:color w:val="0D0D0D" w:themeColor="text1" w:themeTint="F2"/>
                <w:szCs w:val="21"/>
              </w:rPr>
              <w:t>水采</w:t>
            </w:r>
            <w:proofErr w:type="gramEnd"/>
            <w:r w:rsidRPr="00356770">
              <w:rPr>
                <w:rFonts w:asciiTheme="majorEastAsia" w:eastAsiaTheme="majorEastAsia" w:hAnsiTheme="majorEastAsia" w:cstheme="majorEastAsia"/>
                <w:color w:val="0D0D0D" w:themeColor="text1" w:themeTint="F2"/>
                <w:szCs w:val="21"/>
              </w:rPr>
              <w:t xml:space="preserve">用非传统水源的用水量占该部分杂用水总用水量的比例。 </w:t>
            </w:r>
          </w:p>
          <w:p w14:paraId="19E2AC09" w14:textId="7EA7D4E1"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本条文涉及的非传统水源用水量、总用水量均为设计年用水量。设计年用水量由设计平均日用水量和用水时间计算得出。设计平均日用水量应根据节水用水定额</w:t>
            </w:r>
            <w:r w:rsidRPr="00356770">
              <w:rPr>
                <w:rFonts w:asciiTheme="majorEastAsia" w:eastAsiaTheme="majorEastAsia" w:hAnsiTheme="majorEastAsia" w:cstheme="majorEastAsia"/>
                <w:color w:val="0D0D0D" w:themeColor="text1" w:themeTint="F2"/>
                <w:szCs w:val="21"/>
              </w:rPr>
              <w:lastRenderedPageBreak/>
              <w:t>和设计用水单元数量 计算得出，节水用水定额取值详见现行国家标准《民用建筑节水设计标准》 GB 50555</w:t>
            </w:r>
            <w:r w:rsidRPr="00356770">
              <w:rPr>
                <w:rFonts w:asciiTheme="majorEastAsia" w:eastAsiaTheme="majorEastAsia" w:hAnsiTheme="majorEastAsia" w:cstheme="majorEastAsia" w:hint="eastAsia"/>
                <w:color w:val="0D0D0D" w:themeColor="text1" w:themeTint="F2"/>
                <w:szCs w:val="21"/>
              </w:rPr>
              <w:t>。</w:t>
            </w:r>
          </w:p>
        </w:tc>
        <w:tc>
          <w:tcPr>
            <w:tcW w:w="1010" w:type="pct"/>
            <w:vAlign w:val="center"/>
          </w:tcPr>
          <w:p w14:paraId="27EEA0E0" w14:textId="187A5602"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查阅相关设计文件、当地相关主管部门的许可、非传统水源利用计算书；评价查阅相关竣工图纸、设计说明、非传统水源利用计算书、非传统水源水质检测报告。</w:t>
            </w:r>
          </w:p>
        </w:tc>
        <w:tc>
          <w:tcPr>
            <w:tcW w:w="584" w:type="pct"/>
            <w:vAlign w:val="center"/>
          </w:tcPr>
          <w:p w14:paraId="089E6F6B" w14:textId="731FB010"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0</w:t>
            </w:r>
            <w:r w:rsidRPr="00356770">
              <w:rPr>
                <w:rFonts w:asciiTheme="majorEastAsia" w:eastAsiaTheme="majorEastAsia" w:hAnsiTheme="majorEastAsia" w:cstheme="majorEastAsia"/>
                <w:color w:val="0D0D0D" w:themeColor="text1" w:themeTint="F2"/>
                <w:szCs w:val="21"/>
              </w:rPr>
              <w:t>+3+3</w:t>
            </w:r>
          </w:p>
        </w:tc>
      </w:tr>
      <w:tr w:rsidR="00356770" w:rsidRPr="00356770" w14:paraId="1DE956FC" w14:textId="77777777" w:rsidTr="0044598A">
        <w:trPr>
          <w:trHeight w:val="299"/>
        </w:trPr>
        <w:tc>
          <w:tcPr>
            <w:tcW w:w="241" w:type="pct"/>
            <w:vMerge/>
            <w:vAlign w:val="center"/>
          </w:tcPr>
          <w:p w14:paraId="632A0B2F"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5EFC087A" w14:textId="7EC81B7A"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14</w:t>
            </w:r>
          </w:p>
        </w:tc>
        <w:tc>
          <w:tcPr>
            <w:tcW w:w="1278" w:type="pct"/>
            <w:vAlign w:val="center"/>
          </w:tcPr>
          <w:p w14:paraId="05DE1A93" w14:textId="513C5300" w:rsidR="00294D2D" w:rsidRPr="00356770" w:rsidRDefault="00294D2D" w:rsidP="00294D2D">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建筑所有区域实施土建工程与装修工程一体化设计及施工，评价分值为8分。</w:t>
            </w:r>
          </w:p>
        </w:tc>
        <w:tc>
          <w:tcPr>
            <w:tcW w:w="1281" w:type="pct"/>
            <w:vAlign w:val="center"/>
          </w:tcPr>
          <w:p w14:paraId="34AE1C3F" w14:textId="7035375E"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土建和装修一体化设计、施工，对节约能源资源有重要作用。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消耗，并降低装修成本。</w:t>
            </w:r>
          </w:p>
        </w:tc>
        <w:tc>
          <w:tcPr>
            <w:tcW w:w="1010" w:type="pct"/>
            <w:vAlign w:val="center"/>
          </w:tcPr>
          <w:p w14:paraId="167E6220" w14:textId="28424552"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查阅土建、装修各专业施工图及其他证明材料；评价查阅土建、装修各专业竣工图及其他证明材料。</w:t>
            </w:r>
          </w:p>
        </w:tc>
        <w:tc>
          <w:tcPr>
            <w:tcW w:w="584" w:type="pct"/>
            <w:vAlign w:val="center"/>
          </w:tcPr>
          <w:p w14:paraId="098712CF" w14:textId="712D99BF"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3A7A0E0D" w14:textId="77777777" w:rsidTr="0044598A">
        <w:trPr>
          <w:trHeight w:val="299"/>
        </w:trPr>
        <w:tc>
          <w:tcPr>
            <w:tcW w:w="241" w:type="pct"/>
            <w:vMerge/>
            <w:vAlign w:val="center"/>
          </w:tcPr>
          <w:p w14:paraId="4ABE16C2"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797BEE6F" w14:textId="36535281"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15</w:t>
            </w:r>
          </w:p>
        </w:tc>
        <w:tc>
          <w:tcPr>
            <w:tcW w:w="1278" w:type="pct"/>
            <w:vAlign w:val="center"/>
          </w:tcPr>
          <w:p w14:paraId="4499F64D" w14:textId="1249142C"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合理选用建筑结构材料与构件，</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为10分，并按下列规则评分：</w:t>
            </w:r>
          </w:p>
          <w:p w14:paraId="618ACA34"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混凝土结构，按下列规则分别评分并累计：</w:t>
            </w:r>
          </w:p>
          <w:p w14:paraId="247C0BC0"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1)400MPa级及以上强度等级钢筋应用比例达到85％，得5分；</w:t>
            </w:r>
          </w:p>
          <w:p w14:paraId="45DB9CF1"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2)混凝土竖向承重结构采用强度等级不小于C50混凝土用量占竖向承重结构中混凝土总量的比例达到50％，得5分。</w:t>
            </w:r>
          </w:p>
          <w:p w14:paraId="15209B60"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钢结构，按下列规则分别评分并累计：</w:t>
            </w:r>
          </w:p>
          <w:p w14:paraId="1EF572D7"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1)Q345及以上高强钢材用量占钢材总量的比例达到50％，得3分；达到70％，得4分；</w:t>
            </w:r>
          </w:p>
          <w:p w14:paraId="49436817"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2)螺栓连接等非现场焊接节点</w:t>
            </w:r>
            <w:proofErr w:type="gramStart"/>
            <w:r w:rsidRPr="00356770">
              <w:rPr>
                <w:rFonts w:asciiTheme="majorEastAsia" w:eastAsiaTheme="majorEastAsia" w:hAnsiTheme="majorEastAsia" w:cstheme="majorEastAsia" w:hint="eastAsia"/>
                <w:color w:val="0D0D0D" w:themeColor="text1" w:themeTint="F2"/>
                <w:szCs w:val="21"/>
              </w:rPr>
              <w:t>占现场</w:t>
            </w:r>
            <w:proofErr w:type="gramEnd"/>
            <w:r w:rsidRPr="00356770">
              <w:rPr>
                <w:rFonts w:asciiTheme="majorEastAsia" w:eastAsiaTheme="majorEastAsia" w:hAnsiTheme="majorEastAsia" w:cstheme="majorEastAsia" w:hint="eastAsia"/>
                <w:color w:val="0D0D0D" w:themeColor="text1" w:themeTint="F2"/>
                <w:szCs w:val="21"/>
              </w:rPr>
              <w:t>全部连接、拼接节点的数</w:t>
            </w:r>
            <w:r w:rsidRPr="00356770">
              <w:rPr>
                <w:rFonts w:asciiTheme="majorEastAsia" w:eastAsiaTheme="majorEastAsia" w:hAnsiTheme="majorEastAsia" w:cstheme="majorEastAsia" w:hint="eastAsia"/>
                <w:color w:val="0D0D0D" w:themeColor="text1" w:themeTint="F2"/>
                <w:szCs w:val="21"/>
              </w:rPr>
              <w:lastRenderedPageBreak/>
              <w:t>量比例达到50％，得4分；</w:t>
            </w:r>
          </w:p>
          <w:p w14:paraId="39FD06DC"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3)采用</w:t>
            </w:r>
            <w:proofErr w:type="gramStart"/>
            <w:r w:rsidRPr="00356770">
              <w:rPr>
                <w:rFonts w:asciiTheme="majorEastAsia" w:eastAsiaTheme="majorEastAsia" w:hAnsiTheme="majorEastAsia" w:cstheme="majorEastAsia" w:hint="eastAsia"/>
                <w:color w:val="0D0D0D" w:themeColor="text1" w:themeTint="F2"/>
                <w:szCs w:val="21"/>
              </w:rPr>
              <w:t>施工时免支撑</w:t>
            </w:r>
            <w:proofErr w:type="gramEnd"/>
            <w:r w:rsidRPr="00356770">
              <w:rPr>
                <w:rFonts w:asciiTheme="majorEastAsia" w:eastAsiaTheme="majorEastAsia" w:hAnsiTheme="majorEastAsia" w:cstheme="majorEastAsia" w:hint="eastAsia"/>
                <w:color w:val="0D0D0D" w:themeColor="text1" w:themeTint="F2"/>
                <w:szCs w:val="21"/>
              </w:rPr>
              <w:t>的楼屋面板，得2分。</w:t>
            </w:r>
          </w:p>
          <w:p w14:paraId="22770FFD" w14:textId="3AFCEADB"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混合结构：对其混凝土结构部分、钢结构部分，分别按本条第1款、第2款进行评价，得分取各项得分的平均值。</w:t>
            </w:r>
          </w:p>
        </w:tc>
        <w:tc>
          <w:tcPr>
            <w:tcW w:w="1281" w:type="pct"/>
            <w:vAlign w:val="center"/>
          </w:tcPr>
          <w:p w14:paraId="13CAB199" w14:textId="49BD8C6D"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高强度钢筋包括 400MPa级及以上受力普通钢筋，高强混凝土包括</w:t>
            </w:r>
            <w:proofErr w:type="spellStart"/>
            <w:r w:rsidRPr="00356770">
              <w:rPr>
                <w:rFonts w:asciiTheme="majorEastAsia" w:eastAsiaTheme="majorEastAsia" w:hAnsiTheme="majorEastAsia" w:cstheme="majorEastAsia"/>
                <w:color w:val="0D0D0D" w:themeColor="text1" w:themeTint="F2"/>
                <w:szCs w:val="21"/>
              </w:rPr>
              <w:t>cso</w:t>
            </w:r>
            <w:proofErr w:type="spellEnd"/>
            <w:r w:rsidRPr="00356770">
              <w:rPr>
                <w:rFonts w:asciiTheme="majorEastAsia" w:eastAsiaTheme="majorEastAsia" w:hAnsiTheme="majorEastAsia" w:cstheme="majorEastAsia"/>
                <w:color w:val="0D0D0D" w:themeColor="text1" w:themeTint="F2"/>
                <w:szCs w:val="21"/>
              </w:rPr>
              <w:t>及以上混凝土，高强度钢材包括现行国家标准《钢结构设计标准》GB 50017 规定的 Q345 级以上高强钢材。采用混合结构时，考虑混凝土、钢的组合作用优化结构设计，可达到较好的节材效果</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材料用</w:t>
            </w:r>
            <w:proofErr w:type="gramStart"/>
            <w:r w:rsidRPr="00356770">
              <w:rPr>
                <w:rFonts w:asciiTheme="majorEastAsia" w:eastAsiaTheme="majorEastAsia" w:hAnsiTheme="majorEastAsia" w:cstheme="majorEastAsia"/>
                <w:color w:val="0D0D0D" w:themeColor="text1" w:themeTint="F2"/>
                <w:szCs w:val="21"/>
              </w:rPr>
              <w:t>最</w:t>
            </w:r>
            <w:proofErr w:type="gramEnd"/>
            <w:r w:rsidRPr="00356770">
              <w:rPr>
                <w:rFonts w:asciiTheme="majorEastAsia" w:eastAsiaTheme="majorEastAsia" w:hAnsiTheme="majorEastAsia" w:cstheme="majorEastAsia"/>
                <w:color w:val="0D0D0D" w:themeColor="text1" w:themeTint="F2"/>
                <w:szCs w:val="21"/>
              </w:rPr>
              <w:t xml:space="preserve">比例应按以下规则进行计算： </w:t>
            </w:r>
          </w:p>
          <w:p w14:paraId="620BEC7C"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1 对于混凝土结构，需计算高强度钢筋比例、高强混凝土比例； </w:t>
            </w:r>
          </w:p>
          <w:p w14:paraId="7E7C29D5"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2 对于钢结构，需计算高强钢材比例、螺栓连接节点数量比例； </w:t>
            </w:r>
          </w:p>
          <w:p w14:paraId="4CAD1388" w14:textId="7C5DD9F2"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 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混合结构，除计算以上材料之外，还需计算建筑结构比例。</w:t>
            </w:r>
          </w:p>
        </w:tc>
        <w:tc>
          <w:tcPr>
            <w:tcW w:w="1010" w:type="pct"/>
            <w:vAlign w:val="center"/>
          </w:tcPr>
          <w:p w14:paraId="26D33235" w14:textId="116A3648"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查阅相关设计文件、各类材料用量比例计算书；评价查阅相关竣工图、施工记录、材料决算清 单、各类材料用量比例计算书。</w:t>
            </w:r>
          </w:p>
        </w:tc>
        <w:tc>
          <w:tcPr>
            <w:tcW w:w="584" w:type="pct"/>
            <w:vAlign w:val="center"/>
          </w:tcPr>
          <w:p w14:paraId="0F39E104" w14:textId="61ABB2EF"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Pr="00356770">
              <w:rPr>
                <w:rFonts w:asciiTheme="majorEastAsia" w:eastAsiaTheme="majorEastAsia" w:hAnsiTheme="majorEastAsia" w:cstheme="majorEastAsia"/>
                <w:color w:val="0D0D0D" w:themeColor="text1" w:themeTint="F2"/>
                <w:szCs w:val="21"/>
              </w:rPr>
              <w:t>+0</w:t>
            </w:r>
          </w:p>
        </w:tc>
      </w:tr>
      <w:tr w:rsidR="00356770" w:rsidRPr="00356770" w14:paraId="044880A5" w14:textId="77777777" w:rsidTr="0044598A">
        <w:trPr>
          <w:trHeight w:val="299"/>
        </w:trPr>
        <w:tc>
          <w:tcPr>
            <w:tcW w:w="241" w:type="pct"/>
            <w:vMerge/>
            <w:vAlign w:val="center"/>
          </w:tcPr>
          <w:p w14:paraId="046196B4"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2EDF31FC" w14:textId="2374FA1D"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16</w:t>
            </w:r>
          </w:p>
        </w:tc>
        <w:tc>
          <w:tcPr>
            <w:tcW w:w="1278" w:type="pct"/>
            <w:vAlign w:val="center"/>
          </w:tcPr>
          <w:p w14:paraId="438D6C09" w14:textId="617BDE34"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建筑装修选用工业化内装部品，</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为8分。建筑装修选用工业化内装部品占同类部品用量比例达到50％以上的</w:t>
            </w:r>
            <w:proofErr w:type="gramStart"/>
            <w:r w:rsidRPr="00356770">
              <w:rPr>
                <w:rFonts w:asciiTheme="majorEastAsia" w:eastAsiaTheme="majorEastAsia" w:hAnsiTheme="majorEastAsia" w:cstheme="majorEastAsia" w:hint="eastAsia"/>
                <w:color w:val="0D0D0D" w:themeColor="text1" w:themeTint="F2"/>
                <w:szCs w:val="21"/>
              </w:rPr>
              <w:t>部品种</w:t>
            </w:r>
            <w:proofErr w:type="gramEnd"/>
            <w:r w:rsidRPr="00356770">
              <w:rPr>
                <w:rFonts w:asciiTheme="majorEastAsia" w:eastAsiaTheme="majorEastAsia" w:hAnsiTheme="majorEastAsia" w:cstheme="majorEastAsia" w:hint="eastAsia"/>
                <w:color w:val="0D0D0D" w:themeColor="text1" w:themeTint="F2"/>
                <w:szCs w:val="21"/>
              </w:rPr>
              <w:t>类，达到1种，得3分；达到3种，得5分；达到3种以上，得8分。</w:t>
            </w:r>
          </w:p>
        </w:tc>
        <w:tc>
          <w:tcPr>
            <w:tcW w:w="1281" w:type="pct"/>
            <w:vAlign w:val="center"/>
          </w:tcPr>
          <w:p w14:paraId="237666CB" w14:textId="21447850"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本条在国家标准《装配式建筑评价标准》 GB/T 51129 - 2017 基础上进一步明确要求。工业化内装部品主要包括整体卫浴、整体厨房、装配式吊顶、干式工法地面、装配式内墙、管线集成与设备设施等。</w:t>
            </w:r>
          </w:p>
        </w:tc>
        <w:tc>
          <w:tcPr>
            <w:tcW w:w="1010" w:type="pct"/>
            <w:vAlign w:val="center"/>
          </w:tcPr>
          <w:p w14:paraId="10524534" w14:textId="32B11351"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查阅相关设计文件（建筑及装修专业施工图、工业化内装部品施工图）、工业化内装部品用</w:t>
            </w:r>
            <w:proofErr w:type="gramStart"/>
            <w:r w:rsidRPr="00356770">
              <w:rPr>
                <w:rFonts w:asciiTheme="majorEastAsia" w:eastAsiaTheme="majorEastAsia" w:hAnsiTheme="majorEastAsia" w:cstheme="majorEastAsia"/>
                <w:color w:val="0D0D0D" w:themeColor="text1" w:themeTint="F2"/>
                <w:szCs w:val="21"/>
              </w:rPr>
              <w:t>最比 例计算</w:t>
            </w:r>
            <w:proofErr w:type="gramEnd"/>
            <w:r w:rsidRPr="00356770">
              <w:rPr>
                <w:rFonts w:asciiTheme="majorEastAsia" w:eastAsiaTheme="majorEastAsia" w:hAnsiTheme="majorEastAsia" w:cstheme="majorEastAsia"/>
                <w:color w:val="0D0D0D" w:themeColor="text1" w:themeTint="F2"/>
                <w:szCs w:val="21"/>
              </w:rPr>
              <w:t>书；评价查阅相关竣工图、工业化内装部品用量比例计算书。</w:t>
            </w:r>
          </w:p>
        </w:tc>
        <w:tc>
          <w:tcPr>
            <w:tcW w:w="584" w:type="pct"/>
            <w:vAlign w:val="center"/>
          </w:tcPr>
          <w:p w14:paraId="3F358BFF" w14:textId="63DCB032"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w:t>
            </w:r>
          </w:p>
        </w:tc>
      </w:tr>
      <w:tr w:rsidR="00356770" w:rsidRPr="00356770" w14:paraId="35E3447F" w14:textId="77777777" w:rsidTr="0044598A">
        <w:trPr>
          <w:trHeight w:val="299"/>
        </w:trPr>
        <w:tc>
          <w:tcPr>
            <w:tcW w:w="241" w:type="pct"/>
            <w:vMerge/>
            <w:vAlign w:val="center"/>
          </w:tcPr>
          <w:p w14:paraId="68B627B6"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2F1E7285" w14:textId="172031DD"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17</w:t>
            </w:r>
          </w:p>
        </w:tc>
        <w:tc>
          <w:tcPr>
            <w:tcW w:w="1278" w:type="pct"/>
            <w:vAlign w:val="center"/>
          </w:tcPr>
          <w:p w14:paraId="120BBFBB" w14:textId="68084B7A" w:rsidR="00294D2D" w:rsidRPr="00356770" w:rsidRDefault="00294D2D" w:rsidP="00294D2D">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选用可再循环材料、可再利用材料及利废建材，</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为12分，并按下列规则分别评分并累计：</w:t>
            </w:r>
          </w:p>
          <w:p w14:paraId="67C71E5B"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可再循环材料和</w:t>
            </w:r>
            <w:proofErr w:type="gramStart"/>
            <w:r w:rsidRPr="00356770">
              <w:rPr>
                <w:rFonts w:asciiTheme="majorEastAsia" w:eastAsiaTheme="majorEastAsia" w:hAnsiTheme="majorEastAsia" w:cstheme="majorEastAsia" w:hint="eastAsia"/>
                <w:color w:val="0D0D0D" w:themeColor="text1" w:themeTint="F2"/>
                <w:szCs w:val="21"/>
              </w:rPr>
              <w:t>可</w:t>
            </w:r>
            <w:proofErr w:type="gramEnd"/>
            <w:r w:rsidRPr="00356770">
              <w:rPr>
                <w:rFonts w:asciiTheme="majorEastAsia" w:eastAsiaTheme="majorEastAsia" w:hAnsiTheme="majorEastAsia" w:cstheme="majorEastAsia" w:hint="eastAsia"/>
                <w:color w:val="0D0D0D" w:themeColor="text1" w:themeTint="F2"/>
                <w:szCs w:val="21"/>
              </w:rPr>
              <w:t>再利用材料用量比例，按下列规则评分：</w:t>
            </w:r>
          </w:p>
          <w:p w14:paraId="5CE47674"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1)住宅建筑达到6％或公共建筑达到10％，得3分。</w:t>
            </w:r>
          </w:p>
          <w:p w14:paraId="43A12179"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2)住宅建筑达到10％或公共建筑达到15％，得6分。</w:t>
            </w:r>
          </w:p>
          <w:p w14:paraId="178DF6E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利废建材选用及其用量比例，按下列规则评分：</w:t>
            </w:r>
          </w:p>
          <w:p w14:paraId="3C469F04"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1)采用一种利废建材，其占同类建材的用量比例不低于50％，得3分。</w:t>
            </w:r>
          </w:p>
          <w:p w14:paraId="3E1C2664" w14:textId="7C4F29C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2)选用两种及以上的</w:t>
            </w:r>
            <w:r w:rsidRPr="00356770">
              <w:rPr>
                <w:rFonts w:asciiTheme="majorEastAsia" w:eastAsiaTheme="majorEastAsia" w:hAnsiTheme="majorEastAsia" w:cstheme="majorEastAsia" w:hint="eastAsia"/>
                <w:color w:val="0D0D0D" w:themeColor="text1" w:themeTint="F2"/>
                <w:szCs w:val="21"/>
              </w:rPr>
              <w:lastRenderedPageBreak/>
              <w:t>利废建材，每一种占同类建材的用量比例均不低于30％，得6分。</w:t>
            </w:r>
          </w:p>
        </w:tc>
        <w:tc>
          <w:tcPr>
            <w:tcW w:w="1281" w:type="pct"/>
            <w:vAlign w:val="center"/>
          </w:tcPr>
          <w:p w14:paraId="58F9AE82" w14:textId="0402A285"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建筑中选用的可再循环建筑材料和</w:t>
            </w:r>
            <w:proofErr w:type="gramStart"/>
            <w:r w:rsidRPr="00356770">
              <w:rPr>
                <w:rFonts w:asciiTheme="majorEastAsia" w:eastAsiaTheme="majorEastAsia" w:hAnsiTheme="majorEastAsia" w:cstheme="majorEastAsia"/>
                <w:color w:val="0D0D0D" w:themeColor="text1" w:themeTint="F2"/>
                <w:szCs w:val="21"/>
              </w:rPr>
              <w:t>可</w:t>
            </w:r>
            <w:proofErr w:type="gramEnd"/>
            <w:r w:rsidRPr="00356770">
              <w:rPr>
                <w:rFonts w:asciiTheme="majorEastAsia" w:eastAsiaTheme="majorEastAsia" w:hAnsiTheme="majorEastAsia" w:cstheme="majorEastAsia"/>
                <w:color w:val="0D0D0D" w:themeColor="text1" w:themeTint="F2"/>
                <w:szCs w:val="21"/>
              </w:rPr>
              <w:t>再利用建筑材料，可以减少生产加工新材料带来的资源、能源消耗及环境污染，具有良好的经济、社会和环境效益。 利废建材即“以废弃物为原料生产的建筑材料＂，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w:t>
            </w:r>
            <w:proofErr w:type="gramStart"/>
            <w:r w:rsidRPr="00356770">
              <w:rPr>
                <w:rFonts w:asciiTheme="majorEastAsia" w:eastAsiaTheme="majorEastAsia" w:hAnsiTheme="majorEastAsia" w:cstheme="majorEastAsia"/>
                <w:color w:val="0D0D0D" w:themeColor="text1" w:themeTint="F2"/>
                <w:szCs w:val="21"/>
              </w:rPr>
              <w:t>秸杆</w:t>
            </w:r>
            <w:proofErr w:type="gramEnd"/>
            <w:r w:rsidRPr="00356770">
              <w:rPr>
                <w:rFonts w:asciiTheme="majorEastAsia" w:eastAsiaTheme="majorEastAsia" w:hAnsiTheme="majorEastAsia" w:cstheme="majorEastAsia"/>
                <w:color w:val="0D0D0D" w:themeColor="text1" w:themeTint="F2"/>
                <w:szCs w:val="21"/>
              </w:rPr>
              <w:t>、建筑垃圾、淤泥为原料制作成水泥、</w:t>
            </w:r>
            <w:r w:rsidRPr="00356770">
              <w:rPr>
                <w:rFonts w:asciiTheme="majorEastAsia" w:eastAsiaTheme="majorEastAsia" w:hAnsiTheme="majorEastAsia" w:cstheme="majorEastAsia"/>
                <w:color w:val="0D0D0D" w:themeColor="text1" w:themeTint="F2"/>
                <w:szCs w:val="21"/>
              </w:rPr>
              <w:lastRenderedPageBreak/>
              <w:t>混凝土、墙</w:t>
            </w:r>
            <w:proofErr w:type="gramStart"/>
            <w:r w:rsidRPr="00356770">
              <w:rPr>
                <w:rFonts w:asciiTheme="majorEastAsia" w:eastAsiaTheme="majorEastAsia" w:hAnsiTheme="majorEastAsia" w:cstheme="majorEastAsia"/>
                <w:color w:val="0D0D0D" w:themeColor="text1" w:themeTint="F2"/>
                <w:szCs w:val="21"/>
              </w:rPr>
              <w:t>体材</w:t>
            </w:r>
            <w:proofErr w:type="gramEnd"/>
            <w:r w:rsidRPr="00356770">
              <w:rPr>
                <w:rFonts w:asciiTheme="majorEastAsia" w:eastAsiaTheme="majorEastAsia" w:hAnsiTheme="majorEastAsia" w:cstheme="majorEastAsia"/>
                <w:color w:val="0D0D0D" w:themeColor="text1" w:themeTint="F2"/>
                <w:szCs w:val="21"/>
              </w:rPr>
              <w:t>料、保温材料等建筑材料；鼓励以工业副产品石膏制作成石膏制品；鼓励使用生活废弃物经处理后制成的建筑材料。</w:t>
            </w:r>
          </w:p>
        </w:tc>
        <w:tc>
          <w:tcPr>
            <w:tcW w:w="1010" w:type="pct"/>
            <w:vAlign w:val="center"/>
          </w:tcPr>
          <w:p w14:paraId="7DA88571" w14:textId="4E3ED5E1"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查阅工程概预算材料清单、各类材料用量比例计算书、各种建筑材料的使用部位及使用量一览 表；评价查阅工程决算材料清单、相关产品检测报告、各类材料用量比例计算书，利废建材中废弃物掺量说明及证明材料。</w:t>
            </w:r>
          </w:p>
        </w:tc>
        <w:tc>
          <w:tcPr>
            <w:tcW w:w="584" w:type="pct"/>
            <w:vAlign w:val="center"/>
          </w:tcPr>
          <w:p w14:paraId="4514468C" w14:textId="2460697F"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6B10070C" w14:textId="77777777" w:rsidTr="0044598A">
        <w:trPr>
          <w:trHeight w:val="299"/>
        </w:trPr>
        <w:tc>
          <w:tcPr>
            <w:tcW w:w="241" w:type="pct"/>
            <w:vMerge/>
            <w:vAlign w:val="center"/>
          </w:tcPr>
          <w:p w14:paraId="57ABB102"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tcPr>
          <w:p w14:paraId="70B27716" w14:textId="47506215"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7</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18</w:t>
            </w:r>
          </w:p>
        </w:tc>
        <w:tc>
          <w:tcPr>
            <w:tcW w:w="1278" w:type="pct"/>
            <w:vAlign w:val="center"/>
          </w:tcPr>
          <w:p w14:paraId="098F6D46" w14:textId="6452F80E"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选用绿色建材，</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为12分。绿色建材应用比例不低于30％，得4分；不低于50％，得8分；不低于70％，得12分。</w:t>
            </w:r>
          </w:p>
        </w:tc>
        <w:tc>
          <w:tcPr>
            <w:tcW w:w="1281" w:type="pct"/>
            <w:vAlign w:val="center"/>
          </w:tcPr>
          <w:p w14:paraId="432F7113"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本条中绿色建材应用比例应根据下式计算，并按表 中确定得分。 </w:t>
            </w:r>
          </w:p>
          <w:p w14:paraId="0E11BA5A"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p === [(S1 +s2 +s3 + S4)/100] X 100 % (2) </w:t>
            </w:r>
          </w:p>
          <w:p w14:paraId="5926B701"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式中： P 绿色建材应用比例； </w:t>
            </w:r>
          </w:p>
          <w:p w14:paraId="3D4796ED"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S1 主体结构材料指标实际得分值； </w:t>
            </w:r>
          </w:p>
          <w:p w14:paraId="7E75DBB5"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S2 围护墙和内隔墙指标实际得分值； </w:t>
            </w:r>
          </w:p>
          <w:p w14:paraId="0A7AB840"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s3 装修指标实际得分值； </w:t>
            </w:r>
          </w:p>
          <w:p w14:paraId="5E5FC7A8" w14:textId="20FB2EB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s4 其他指标实际得分值。</w:t>
            </w:r>
          </w:p>
        </w:tc>
        <w:tc>
          <w:tcPr>
            <w:tcW w:w="1010" w:type="pct"/>
            <w:vAlign w:val="center"/>
          </w:tcPr>
          <w:p w14:paraId="1B7B5ED6" w14:textId="5B9FEF34" w:rsidR="00294D2D" w:rsidRPr="00356770" w:rsidRDefault="00294D2D" w:rsidP="00294D2D">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查阅相关设计文件、计算分析报告；评价查阅相关竣工图、计算分析报告、检测报告、工程决算材料清单、绿色建材标识证书、施工记录。</w:t>
            </w:r>
          </w:p>
        </w:tc>
        <w:tc>
          <w:tcPr>
            <w:tcW w:w="584" w:type="pct"/>
            <w:vAlign w:val="center"/>
          </w:tcPr>
          <w:p w14:paraId="66F1F34F" w14:textId="21BC063B"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w:t>
            </w:r>
          </w:p>
        </w:tc>
      </w:tr>
      <w:tr w:rsidR="00356770" w:rsidRPr="00356770" w14:paraId="01AC0556" w14:textId="77777777" w:rsidTr="0044598A">
        <w:trPr>
          <w:trHeight w:val="299"/>
        </w:trPr>
        <w:tc>
          <w:tcPr>
            <w:tcW w:w="241" w:type="pct"/>
            <w:vMerge/>
            <w:vAlign w:val="center"/>
          </w:tcPr>
          <w:p w14:paraId="454CA61B"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88D2AA8"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4153" w:type="pct"/>
            <w:gridSpan w:val="4"/>
            <w:vAlign w:val="center"/>
          </w:tcPr>
          <w:p w14:paraId="4AAA487F" w14:textId="19FB160B"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资源节约项总分：</w:t>
            </w:r>
            <w:r w:rsidR="00D86C96" w:rsidRPr="00356770">
              <w:rPr>
                <w:rFonts w:asciiTheme="majorEastAsia" w:eastAsiaTheme="majorEastAsia" w:hAnsiTheme="majorEastAsia" w:cstheme="majorEastAsia" w:hint="eastAsia"/>
                <w:color w:val="0D0D0D" w:themeColor="text1" w:themeTint="F2"/>
                <w:szCs w:val="21"/>
              </w:rPr>
              <w:t>1</w:t>
            </w:r>
            <w:r w:rsidR="00D86C96" w:rsidRPr="00356770">
              <w:rPr>
                <w:rFonts w:asciiTheme="majorEastAsia" w:eastAsiaTheme="majorEastAsia" w:hAnsiTheme="majorEastAsia" w:cstheme="majorEastAsia"/>
                <w:color w:val="0D0D0D" w:themeColor="text1" w:themeTint="F2"/>
                <w:szCs w:val="21"/>
              </w:rPr>
              <w:t>09</w:t>
            </w:r>
          </w:p>
        </w:tc>
      </w:tr>
    </w:tbl>
    <w:p w14:paraId="3F555583"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p w14:paraId="47BE4EF2"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表A-</w:t>
      </w:r>
      <w:r w:rsidRPr="00356770">
        <w:rPr>
          <w:rFonts w:asciiTheme="majorEastAsia" w:eastAsiaTheme="majorEastAsia" w:hAnsiTheme="majorEastAsia" w:cstheme="majorEastAsia" w:hint="eastAsia"/>
          <w:b/>
          <w:bCs/>
          <w:color w:val="0D0D0D" w:themeColor="text1" w:themeTint="F2"/>
          <w:szCs w:val="21"/>
        </w:rPr>
        <w:t>5</w:t>
      </w:r>
      <w:r w:rsidRPr="00356770">
        <w:rPr>
          <w:rFonts w:asciiTheme="majorEastAsia" w:eastAsiaTheme="majorEastAsia" w:hAnsiTheme="majorEastAsia" w:cstheme="majorEastAsia"/>
          <w:b/>
          <w:bCs/>
          <w:color w:val="0D0D0D" w:themeColor="text1" w:themeTint="F2"/>
          <w:szCs w:val="21"/>
        </w:rPr>
        <w:t xml:space="preserve"> </w:t>
      </w:r>
      <w:r w:rsidRPr="00356770">
        <w:rPr>
          <w:rFonts w:asciiTheme="majorEastAsia" w:eastAsiaTheme="majorEastAsia" w:hAnsiTheme="majorEastAsia" w:cstheme="majorEastAsia" w:hint="eastAsia"/>
          <w:b/>
          <w:bCs/>
          <w:color w:val="0D0D0D" w:themeColor="text1" w:themeTint="F2"/>
          <w:szCs w:val="21"/>
        </w:rPr>
        <w:t>环境宜居</w:t>
      </w:r>
    </w:p>
    <w:tbl>
      <w:tblPr>
        <w:tblStyle w:val="a3"/>
        <w:tblW w:w="5002" w:type="pct"/>
        <w:tblLook w:val="04A0" w:firstRow="1" w:lastRow="0" w:firstColumn="1" w:lastColumn="0" w:noHBand="0" w:noVBand="1"/>
      </w:tblPr>
      <w:tblGrid>
        <w:gridCol w:w="433"/>
        <w:gridCol w:w="1093"/>
        <w:gridCol w:w="2278"/>
        <w:gridCol w:w="18"/>
        <w:gridCol w:w="9"/>
        <w:gridCol w:w="2315"/>
        <w:gridCol w:w="85"/>
        <w:gridCol w:w="1703"/>
        <w:gridCol w:w="32"/>
        <w:gridCol w:w="1054"/>
      </w:tblGrid>
      <w:tr w:rsidR="00356770" w:rsidRPr="00356770" w14:paraId="603789F6" w14:textId="77777777" w:rsidTr="002C1843">
        <w:tc>
          <w:tcPr>
            <w:tcW w:w="2109" w:type="pct"/>
            <w:gridSpan w:val="3"/>
            <w:vAlign w:val="center"/>
          </w:tcPr>
          <w:p w14:paraId="6AE767EA"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标准条文</w:t>
            </w:r>
          </w:p>
        </w:tc>
        <w:tc>
          <w:tcPr>
            <w:tcW w:w="1298" w:type="pct"/>
            <w:gridSpan w:val="3"/>
            <w:vAlign w:val="center"/>
          </w:tcPr>
          <w:p w14:paraId="4A8A5938"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1009" w:type="pct"/>
            <w:gridSpan w:val="3"/>
            <w:vAlign w:val="center"/>
          </w:tcPr>
          <w:p w14:paraId="388D91AF"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评价方法</w:t>
            </w:r>
          </w:p>
        </w:tc>
        <w:tc>
          <w:tcPr>
            <w:tcW w:w="584" w:type="pct"/>
            <w:vAlign w:val="center"/>
          </w:tcPr>
          <w:p w14:paraId="2A1AC656"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w:t>
            </w:r>
          </w:p>
        </w:tc>
      </w:tr>
      <w:tr w:rsidR="00356770" w:rsidRPr="00356770" w14:paraId="03B501C3" w14:textId="77777777" w:rsidTr="002C1843">
        <w:tc>
          <w:tcPr>
            <w:tcW w:w="240" w:type="pct"/>
            <w:vMerge w:val="restart"/>
            <w:vAlign w:val="center"/>
          </w:tcPr>
          <w:p w14:paraId="4DB48F76"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控</w:t>
            </w:r>
          </w:p>
          <w:p w14:paraId="22F08DB1"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制</w:t>
            </w:r>
          </w:p>
          <w:p w14:paraId="01788164"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6" w:type="pct"/>
            <w:vAlign w:val="center"/>
          </w:tcPr>
          <w:p w14:paraId="070894C0"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w:t>
            </w:r>
          </w:p>
        </w:tc>
        <w:tc>
          <w:tcPr>
            <w:tcW w:w="1263" w:type="pct"/>
            <w:vAlign w:val="center"/>
          </w:tcPr>
          <w:p w14:paraId="6F3F3ECC"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条文内容</w:t>
            </w:r>
          </w:p>
        </w:tc>
        <w:tc>
          <w:tcPr>
            <w:tcW w:w="1298" w:type="pct"/>
            <w:gridSpan w:val="3"/>
            <w:vAlign w:val="center"/>
          </w:tcPr>
          <w:p w14:paraId="68591487" w14:textId="77777777" w:rsidR="002C1843" w:rsidRPr="00356770" w:rsidRDefault="002C1843" w:rsidP="002C1843">
            <w:pPr>
              <w:rPr>
                <w:rFonts w:asciiTheme="majorEastAsia" w:eastAsiaTheme="majorEastAsia" w:hAnsiTheme="majorEastAsia" w:cstheme="majorEastAsia"/>
                <w:color w:val="0D0D0D" w:themeColor="text1" w:themeTint="F2"/>
                <w:szCs w:val="21"/>
              </w:rPr>
            </w:pPr>
          </w:p>
        </w:tc>
        <w:tc>
          <w:tcPr>
            <w:tcW w:w="1009" w:type="pct"/>
            <w:gridSpan w:val="3"/>
            <w:vAlign w:val="center"/>
          </w:tcPr>
          <w:p w14:paraId="3C755D61" w14:textId="77777777" w:rsidR="002C1843" w:rsidRPr="00356770" w:rsidRDefault="002C1843" w:rsidP="002C1843">
            <w:pPr>
              <w:rPr>
                <w:rFonts w:asciiTheme="majorEastAsia" w:eastAsiaTheme="majorEastAsia" w:hAnsiTheme="majorEastAsia" w:cstheme="majorEastAsia"/>
                <w:color w:val="0D0D0D" w:themeColor="text1" w:themeTint="F2"/>
                <w:szCs w:val="21"/>
              </w:rPr>
            </w:pPr>
          </w:p>
        </w:tc>
        <w:tc>
          <w:tcPr>
            <w:tcW w:w="584" w:type="pct"/>
            <w:vAlign w:val="center"/>
          </w:tcPr>
          <w:p w14:paraId="7D8C2003" w14:textId="77777777" w:rsidR="002C1843" w:rsidRPr="00356770" w:rsidRDefault="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满足或不满足</w:t>
            </w:r>
          </w:p>
        </w:tc>
      </w:tr>
      <w:tr w:rsidR="00356770" w:rsidRPr="00356770" w14:paraId="134BE7EA" w14:textId="77777777" w:rsidTr="002C1843">
        <w:tc>
          <w:tcPr>
            <w:tcW w:w="240" w:type="pct"/>
            <w:vMerge/>
            <w:vAlign w:val="center"/>
          </w:tcPr>
          <w:p w14:paraId="52115441"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DDA2736" w14:textId="4F89B915"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.1.1</w:t>
            </w:r>
          </w:p>
        </w:tc>
        <w:tc>
          <w:tcPr>
            <w:tcW w:w="1263" w:type="pct"/>
            <w:vAlign w:val="center"/>
          </w:tcPr>
          <w:p w14:paraId="351F4E82" w14:textId="6D1021AB" w:rsidR="002C1843" w:rsidRPr="00356770" w:rsidRDefault="002C1843" w:rsidP="002C1843">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建筑规划布局应满足日照标准，且不得降低周边建筑的日照标准</w:t>
            </w:r>
          </w:p>
        </w:tc>
        <w:tc>
          <w:tcPr>
            <w:tcW w:w="1298" w:type="pct"/>
            <w:gridSpan w:val="3"/>
            <w:vAlign w:val="center"/>
          </w:tcPr>
          <w:p w14:paraId="2D4C895F"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要求建筑布局还应兼顾周边，减少对相邻的住宅、幼儿园生活用房等有日照标准要求的建筑产生不利的日照遮挡。条文中的“不得降低周边建筑的日照标准”是指：对于新建项目的建设，应满足周边建筑有关日照标准的要求。</w:t>
            </w:r>
          </w:p>
          <w:p w14:paraId="6C3EBB5B"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对于改造项目分两种情况：周边建筑改造前满足日照标准的，应保证其改造后仍符合相关日照标准的要求；周边建筑改造前未满足日照标准的，改造后不可再降低其原有的日照水平。</w:t>
            </w:r>
          </w:p>
          <w:p w14:paraId="0D13AFDD" w14:textId="3DA6749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对</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周边建筑，现行标准对其日照标准</w:t>
            </w:r>
            <w:proofErr w:type="gramStart"/>
            <w:r w:rsidRPr="00356770">
              <w:rPr>
                <w:rFonts w:asciiTheme="majorEastAsia" w:eastAsiaTheme="majorEastAsia" w:hAnsiTheme="majorEastAsia" w:cstheme="majorEastAsia"/>
                <w:color w:val="0D0D0D" w:themeColor="text1" w:themeTint="F2"/>
                <w:szCs w:val="21"/>
              </w:rPr>
              <w:t>有最化要求</w:t>
            </w:r>
            <w:proofErr w:type="gramEnd"/>
            <w:r w:rsidRPr="00356770">
              <w:rPr>
                <w:rFonts w:asciiTheme="majorEastAsia" w:eastAsiaTheme="majorEastAsia" w:hAnsiTheme="majorEastAsia" w:cstheme="majorEastAsia"/>
                <w:color w:val="0D0D0D" w:themeColor="text1" w:themeTint="F2"/>
                <w:szCs w:val="21"/>
              </w:rPr>
              <w:t>的，可以通过模拟计算报告来判定达标；对于周边的非住宅建筑，若现行设计标准对其日照标准没有量化的要求，则可以不进行日照的模拟计算，只要其满足控制性详规即可判定达标。</w:t>
            </w:r>
          </w:p>
        </w:tc>
        <w:tc>
          <w:tcPr>
            <w:tcW w:w="1009" w:type="pct"/>
            <w:gridSpan w:val="3"/>
            <w:vAlign w:val="center"/>
          </w:tcPr>
          <w:p w14:paraId="474E7492" w14:textId="35D3994D"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查阅相关设计文件、日照分析报告；评价查阅相关竣工图、日照分析报告。</w:t>
            </w:r>
          </w:p>
        </w:tc>
        <w:tc>
          <w:tcPr>
            <w:tcW w:w="584" w:type="pct"/>
            <w:vAlign w:val="center"/>
          </w:tcPr>
          <w:p w14:paraId="27DAE33A" w14:textId="437FC517"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6B03D833" w14:textId="77777777" w:rsidTr="002C1843">
        <w:tc>
          <w:tcPr>
            <w:tcW w:w="240" w:type="pct"/>
            <w:vMerge/>
            <w:vAlign w:val="center"/>
          </w:tcPr>
          <w:p w14:paraId="620CA631"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A5089C2" w14:textId="7ACFAB1C"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.1.2</w:t>
            </w:r>
          </w:p>
        </w:tc>
        <w:tc>
          <w:tcPr>
            <w:tcW w:w="1263" w:type="pct"/>
            <w:vAlign w:val="center"/>
          </w:tcPr>
          <w:p w14:paraId="1EC196CB" w14:textId="2D28274A"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室外热环境应满足国家现行有关标准的要求</w:t>
            </w:r>
          </w:p>
        </w:tc>
        <w:tc>
          <w:tcPr>
            <w:tcW w:w="1298" w:type="pct"/>
            <w:gridSpan w:val="3"/>
            <w:vAlign w:val="center"/>
          </w:tcPr>
          <w:p w14:paraId="03C2AFE2" w14:textId="11ACEDA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项目规划设计时，应充分考虑场地内热环境的舒适度，采取有效措施改善场地通风不良、遮阳不足、绿量不够、渗透不强的一系列的问题，降低热岛强度，提高环境舒适度。本条要求项目按</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标准《城市居住区热环境设计标准》 JGJ 进行热环境设计。城市居住区是指城市中住宅建筑相对集中布局的地区，简称居住区。如项目处于非居住区规划范围内，符合其城乡规划的要求即为达标。</w:t>
            </w:r>
          </w:p>
        </w:tc>
        <w:tc>
          <w:tcPr>
            <w:tcW w:w="1009" w:type="pct"/>
            <w:gridSpan w:val="3"/>
            <w:vAlign w:val="center"/>
          </w:tcPr>
          <w:p w14:paraId="5EE2252D" w14:textId="3225C881"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查阅相关设计文件、场地热环境计算报告；评价查阅相关竣工图、场地热环境计算报告。</w:t>
            </w:r>
          </w:p>
        </w:tc>
        <w:tc>
          <w:tcPr>
            <w:tcW w:w="584" w:type="pct"/>
            <w:vAlign w:val="center"/>
          </w:tcPr>
          <w:p w14:paraId="24B91268" w14:textId="75F97B9F"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4AC5BE81" w14:textId="77777777" w:rsidTr="002C1843">
        <w:tc>
          <w:tcPr>
            <w:tcW w:w="240" w:type="pct"/>
            <w:vMerge/>
            <w:vAlign w:val="center"/>
          </w:tcPr>
          <w:p w14:paraId="0D8A141E"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0532727B" w14:textId="5F47490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3</w:t>
            </w:r>
          </w:p>
        </w:tc>
        <w:tc>
          <w:tcPr>
            <w:tcW w:w="1263" w:type="pct"/>
            <w:vAlign w:val="center"/>
          </w:tcPr>
          <w:p w14:paraId="7B5E9945" w14:textId="1FDFABF8" w:rsidR="002C1843" w:rsidRPr="00356770" w:rsidRDefault="002C1843" w:rsidP="002C1843">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1298" w:type="pct"/>
            <w:gridSpan w:val="3"/>
            <w:vAlign w:val="center"/>
          </w:tcPr>
          <w:p w14:paraId="772ADBEE" w14:textId="6E89D67A"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合理的植物物种选择和搭配会对绿地植被的生长起到促进作用。种植区域的覆土深度应满足乔、灌、</w:t>
            </w:r>
            <w:proofErr w:type="gramStart"/>
            <w:r w:rsidRPr="00356770">
              <w:rPr>
                <w:rFonts w:asciiTheme="majorEastAsia" w:eastAsiaTheme="majorEastAsia" w:hAnsiTheme="majorEastAsia" w:cstheme="majorEastAsia"/>
                <w:color w:val="0D0D0D" w:themeColor="text1" w:themeTint="F2"/>
                <w:szCs w:val="21"/>
              </w:rPr>
              <w:t>草自然</w:t>
            </w:r>
            <w:proofErr w:type="gramEnd"/>
            <w:r w:rsidRPr="00356770">
              <w:rPr>
                <w:rFonts w:asciiTheme="majorEastAsia" w:eastAsiaTheme="majorEastAsia" w:hAnsiTheme="majorEastAsia" w:cstheme="majorEastAsia"/>
                <w:color w:val="0D0D0D" w:themeColor="text1" w:themeTint="F2"/>
                <w:szCs w:val="21"/>
              </w:rPr>
              <w:t>生长的需要，一般来说，满足植物生长需求的覆土深度为：乔木大于1.2m, 深根系乔木大于 1. 5m, 灌木大千 0. 5m, 草坪大于0.3m 。种植区域的覆土深度应满足申报项目所在地园林主管部门对覆土深度的要求。鼓励各类公共建筑进行屋顶绿化和墙面垂直绿化，既能增加绿化面积，</w:t>
            </w:r>
            <w:r w:rsidRPr="00356770">
              <w:rPr>
                <w:rFonts w:asciiTheme="majorEastAsia" w:eastAsiaTheme="majorEastAsia" w:hAnsiTheme="majorEastAsia" w:cstheme="majorEastAsia"/>
                <w:color w:val="0D0D0D" w:themeColor="text1" w:themeTint="F2"/>
                <w:szCs w:val="21"/>
              </w:rPr>
              <w:lastRenderedPageBreak/>
              <w:t>又可以改善屋顶和墙壁的保温隔热效果，还可有效滞留雨水。</w:t>
            </w:r>
          </w:p>
        </w:tc>
        <w:tc>
          <w:tcPr>
            <w:tcW w:w="1009" w:type="pct"/>
            <w:gridSpan w:val="3"/>
            <w:vAlign w:val="center"/>
          </w:tcPr>
          <w:p w14:paraId="42444102" w14:textId="38F5E974"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查阅相关设计文件（苗木表、屋顶绿化、覆土绿化和／或垂直绿化的区域及面积、种植区域的覆土深度、排水设计）；评价查阅相关竣工图、苗木采购清单。</w:t>
            </w:r>
          </w:p>
        </w:tc>
        <w:tc>
          <w:tcPr>
            <w:tcW w:w="584" w:type="pct"/>
            <w:vAlign w:val="center"/>
          </w:tcPr>
          <w:p w14:paraId="4F7EB3D4" w14:textId="01C38FDE"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05355BF9" w14:textId="77777777" w:rsidTr="002C1843">
        <w:tc>
          <w:tcPr>
            <w:tcW w:w="240" w:type="pct"/>
            <w:vMerge/>
            <w:vAlign w:val="center"/>
          </w:tcPr>
          <w:p w14:paraId="1B5DD4BF"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9B75463" w14:textId="6717F58A"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4</w:t>
            </w:r>
          </w:p>
        </w:tc>
        <w:tc>
          <w:tcPr>
            <w:tcW w:w="1263" w:type="pct"/>
            <w:vAlign w:val="center"/>
          </w:tcPr>
          <w:p w14:paraId="092D523A" w14:textId="75B3F5B1" w:rsidR="002C1843" w:rsidRPr="00356770" w:rsidRDefault="002C1843" w:rsidP="002C1843">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场地的竖向设计应有利于雨水的收集或排放，应有</w:t>
            </w:r>
            <w:proofErr w:type="gramStart"/>
            <w:r w:rsidRPr="00356770">
              <w:rPr>
                <w:rFonts w:asciiTheme="majorEastAsia" w:eastAsiaTheme="majorEastAsia" w:hAnsiTheme="majorEastAsia" w:cstheme="majorEastAsia" w:hint="eastAsia"/>
                <w:color w:val="0D0D0D" w:themeColor="text1" w:themeTint="F2"/>
                <w:szCs w:val="21"/>
              </w:rPr>
              <w:t>效</w:t>
            </w:r>
            <w:proofErr w:type="gramEnd"/>
            <w:r w:rsidRPr="00356770">
              <w:rPr>
                <w:rFonts w:asciiTheme="majorEastAsia" w:eastAsiaTheme="majorEastAsia" w:hAnsiTheme="majorEastAsia" w:cstheme="majorEastAsia" w:hint="eastAsia"/>
                <w:color w:val="0D0D0D" w:themeColor="text1" w:themeTint="F2"/>
                <w:szCs w:val="21"/>
              </w:rPr>
              <w:t>组织雨水的下渗、</w:t>
            </w:r>
            <w:proofErr w:type="gramStart"/>
            <w:r w:rsidRPr="00356770">
              <w:rPr>
                <w:rFonts w:asciiTheme="majorEastAsia" w:eastAsiaTheme="majorEastAsia" w:hAnsiTheme="majorEastAsia" w:cstheme="majorEastAsia" w:hint="eastAsia"/>
                <w:color w:val="0D0D0D" w:themeColor="text1" w:themeTint="F2"/>
                <w:szCs w:val="21"/>
              </w:rPr>
              <w:t>滞蓄或</w:t>
            </w:r>
            <w:proofErr w:type="gramEnd"/>
            <w:r w:rsidRPr="00356770">
              <w:rPr>
                <w:rFonts w:asciiTheme="majorEastAsia" w:eastAsiaTheme="majorEastAsia" w:hAnsiTheme="majorEastAsia" w:cstheme="majorEastAsia" w:hint="eastAsia"/>
                <w:color w:val="0D0D0D" w:themeColor="text1" w:themeTint="F2"/>
                <w:szCs w:val="21"/>
              </w:rPr>
              <w:t>再利用;对大于1hm的场地应进行雨水控制利用专项设计。</w:t>
            </w:r>
          </w:p>
        </w:tc>
        <w:tc>
          <w:tcPr>
            <w:tcW w:w="1298" w:type="pct"/>
            <w:gridSpan w:val="3"/>
            <w:vAlign w:val="center"/>
          </w:tcPr>
          <w:p w14:paraId="2AB84314" w14:textId="4D09C69B"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无论是在水资源丰富的地区还是在水资源贫乏的地区，进行建设场地的竖向设计的目的之一是防止因降雨导致场地积水或内</w:t>
            </w:r>
            <w:proofErr w:type="gramStart"/>
            <w:r w:rsidRPr="00356770">
              <w:rPr>
                <w:rFonts w:asciiTheme="majorEastAsia" w:eastAsiaTheme="majorEastAsia" w:hAnsiTheme="majorEastAsia" w:cstheme="majorEastAsia"/>
                <w:color w:val="0D0D0D" w:themeColor="text1" w:themeTint="F2"/>
                <w:szCs w:val="21"/>
              </w:rPr>
              <w:t>滂</w:t>
            </w:r>
            <w:proofErr w:type="gramEnd"/>
            <w:r w:rsidRPr="00356770">
              <w:rPr>
                <w:rFonts w:asciiTheme="majorEastAsia" w:eastAsiaTheme="majorEastAsia" w:hAnsiTheme="majorEastAsia" w:cstheme="majorEastAsia"/>
                <w:color w:val="0D0D0D" w:themeColor="text1" w:themeTint="F2"/>
                <w:szCs w:val="21"/>
              </w:rPr>
              <w:t>。</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标准《城乡建设用地竖向规划规范》 CJJ 83 对此也是有明确要求。</w:t>
            </w:r>
            <w:r w:rsidRPr="00356770">
              <w:rPr>
                <w:rFonts w:asciiTheme="majorEastAsia" w:eastAsiaTheme="majorEastAsia" w:hAnsiTheme="majorEastAsia" w:cstheme="majorEastAsia" w:hint="eastAsia"/>
                <w:color w:val="0D0D0D" w:themeColor="text1" w:themeTint="F2"/>
                <w:szCs w:val="21"/>
              </w:rPr>
              <w:t>①</w:t>
            </w:r>
            <w:r w:rsidRPr="00356770">
              <w:rPr>
                <w:rFonts w:asciiTheme="majorEastAsia" w:eastAsiaTheme="majorEastAsia" w:hAnsiTheme="majorEastAsia" w:cstheme="majorEastAsia"/>
                <w:color w:val="0D0D0D" w:themeColor="text1" w:themeTint="F2"/>
                <w:szCs w:val="21"/>
              </w:rPr>
              <w:t>在竖向设计时，到底是有利千雨水收集还是排放．是有选择的，由具体项目及所在地决定。</w:t>
            </w:r>
            <w:r w:rsidRPr="00356770">
              <w:rPr>
                <w:rFonts w:asciiTheme="majorEastAsia" w:eastAsiaTheme="majorEastAsia" w:hAnsiTheme="majorEastAsia" w:cstheme="majorEastAsia" w:hint="eastAsia"/>
                <w:color w:val="0D0D0D" w:themeColor="text1" w:themeTint="F2"/>
                <w:szCs w:val="21"/>
              </w:rPr>
              <w:t>②</w:t>
            </w:r>
            <w:r w:rsidRPr="00356770">
              <w:rPr>
                <w:rFonts w:asciiTheme="majorEastAsia" w:eastAsiaTheme="majorEastAsia" w:hAnsiTheme="majorEastAsia" w:cstheme="majorEastAsia"/>
                <w:color w:val="0D0D0D" w:themeColor="text1" w:themeTint="F2"/>
                <w:szCs w:val="21"/>
              </w:rPr>
              <w:t>按照国家推进海绵城市建设的部署，无论是年降雨量丰富的地区还是较少的地区，通过场地竖向设计使雨水下渗，或者滞蓄，或者再利用</w:t>
            </w:r>
            <w:r w:rsidRPr="00356770">
              <w:rPr>
                <w:rFonts w:asciiTheme="majorEastAsia" w:eastAsiaTheme="majorEastAsia" w:hAnsiTheme="majorEastAsia" w:cstheme="majorEastAsia" w:hint="eastAsia"/>
                <w:color w:val="0D0D0D" w:themeColor="text1" w:themeTint="F2"/>
                <w:szCs w:val="21"/>
              </w:rPr>
              <w:t>。</w:t>
            </w:r>
          </w:p>
        </w:tc>
        <w:tc>
          <w:tcPr>
            <w:tcW w:w="1009" w:type="pct"/>
            <w:gridSpan w:val="3"/>
            <w:vAlign w:val="center"/>
          </w:tcPr>
          <w:p w14:paraId="79F21F18" w14:textId="0B14FC62"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查阅相关设计文件（场地竖向设计文件）、年径流总量控制率计算书、设计控制雨量计算书、场 地雨水综合利用方案或专项设计文件；评价查阅相关竣工图、年径流总量控制率计算书、设计控制雨量计算书、场地雨水综合利用方案或专项设计文件。</w:t>
            </w:r>
          </w:p>
        </w:tc>
        <w:tc>
          <w:tcPr>
            <w:tcW w:w="584" w:type="pct"/>
            <w:vAlign w:val="center"/>
          </w:tcPr>
          <w:p w14:paraId="589FCAD6" w14:textId="741CEF66"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40900C9D" w14:textId="77777777" w:rsidTr="002C1843">
        <w:tc>
          <w:tcPr>
            <w:tcW w:w="240" w:type="pct"/>
            <w:vMerge/>
            <w:vAlign w:val="center"/>
          </w:tcPr>
          <w:p w14:paraId="4C45063E"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0F0D55F6" w14:textId="5D84E558"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5</w:t>
            </w:r>
          </w:p>
        </w:tc>
        <w:tc>
          <w:tcPr>
            <w:tcW w:w="1263" w:type="pct"/>
            <w:vAlign w:val="center"/>
          </w:tcPr>
          <w:p w14:paraId="0DA78541" w14:textId="02A361D8" w:rsidR="002C1843" w:rsidRPr="00356770" w:rsidRDefault="002C1843" w:rsidP="002C1843">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建筑内外均应设置便于识别和使用的标识系统</w:t>
            </w:r>
          </w:p>
        </w:tc>
        <w:tc>
          <w:tcPr>
            <w:tcW w:w="1298" w:type="pct"/>
            <w:gridSpan w:val="3"/>
            <w:vAlign w:val="center"/>
          </w:tcPr>
          <w:p w14:paraId="6EAFBBA5" w14:textId="3F22E76F"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在标识系统设计和设置时，应考虑建筑使用者的识别习惯通过色彩、形式、字体、符号等整体进行设计，形成统一性和</w:t>
            </w:r>
            <w:proofErr w:type="gramStart"/>
            <w:r w:rsidRPr="00356770">
              <w:rPr>
                <w:rFonts w:asciiTheme="majorEastAsia" w:eastAsiaTheme="majorEastAsia" w:hAnsiTheme="majorEastAsia" w:cstheme="majorEastAsia"/>
                <w:color w:val="0D0D0D" w:themeColor="text1" w:themeTint="F2"/>
                <w:szCs w:val="21"/>
              </w:rPr>
              <w:t>可</w:t>
            </w:r>
            <w:proofErr w:type="gramEnd"/>
            <w:r w:rsidRPr="00356770">
              <w:rPr>
                <w:rFonts w:asciiTheme="majorEastAsia" w:eastAsiaTheme="majorEastAsia" w:hAnsiTheme="majorEastAsia" w:cstheme="majorEastAsia"/>
                <w:color w:val="0D0D0D" w:themeColor="text1" w:themeTint="F2"/>
                <w:szCs w:val="21"/>
              </w:rPr>
              <w:t>辨识度。并考虑老年人、残障人士、儿童等不同人群对千标识的识别和感知的方式，例如，老年人由于视觉能力下降，需要采用较大的文字、较易识别的色彩系统等，儿童由于身高较低、识字量不够等，需要采用高度适合、色彩与图形化结合等方式的识别系统等。因此，提出根据不同使用人群特点设置适宜的标识引导系统，体现出对不同人群的关爱。同时，为便</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标识识别，应在场地内显著位置上设置标识，标</w:t>
            </w:r>
            <w:r w:rsidRPr="00356770">
              <w:rPr>
                <w:rFonts w:asciiTheme="majorEastAsia" w:eastAsiaTheme="majorEastAsia" w:hAnsiTheme="majorEastAsia" w:cstheme="majorEastAsia"/>
                <w:color w:val="0D0D0D" w:themeColor="text1" w:themeTint="F2"/>
                <w:szCs w:val="21"/>
              </w:rPr>
              <w:lastRenderedPageBreak/>
              <w:t>识应反映一定区域范围内的建筑与设施分布情况，并提示当前位置等。建筑及场地的标识应沿通行路径布置，构成完整和连续的引导系统。</w:t>
            </w:r>
          </w:p>
        </w:tc>
        <w:tc>
          <w:tcPr>
            <w:tcW w:w="1009" w:type="pct"/>
            <w:gridSpan w:val="3"/>
            <w:vAlign w:val="center"/>
          </w:tcPr>
          <w:p w14:paraId="66BE8926" w14:textId="39157121"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查阅相关设计文件（标识系统设计文件）；评价查阅相关竣工图。</w:t>
            </w:r>
          </w:p>
        </w:tc>
        <w:tc>
          <w:tcPr>
            <w:tcW w:w="584" w:type="pct"/>
            <w:vAlign w:val="center"/>
          </w:tcPr>
          <w:p w14:paraId="36A05956" w14:textId="7F087027"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548D28D8" w14:textId="77777777" w:rsidTr="002C1843">
        <w:tc>
          <w:tcPr>
            <w:tcW w:w="240" w:type="pct"/>
            <w:vMerge/>
            <w:vAlign w:val="center"/>
          </w:tcPr>
          <w:p w14:paraId="34230E3C"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FE5E339" w14:textId="367407F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6</w:t>
            </w:r>
          </w:p>
        </w:tc>
        <w:tc>
          <w:tcPr>
            <w:tcW w:w="1263" w:type="pct"/>
            <w:vAlign w:val="center"/>
          </w:tcPr>
          <w:p w14:paraId="714AC9DC" w14:textId="2E87D7E8" w:rsidR="002C1843" w:rsidRPr="00356770" w:rsidRDefault="002C1843" w:rsidP="002C1843">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场地内不应有排放超标的污染源。</w:t>
            </w:r>
          </w:p>
        </w:tc>
        <w:tc>
          <w:tcPr>
            <w:tcW w:w="1298" w:type="pct"/>
            <w:gridSpan w:val="3"/>
            <w:vAlign w:val="center"/>
          </w:tcPr>
          <w:p w14:paraId="5D2EFA0D" w14:textId="06A1D6BC"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建筑场地内不应存在未达标排放或者超标排放的气态、液态或固态的污染源，例如：易产生噪声的运动和营业场所，油烟未达标排放的厨房，煤气或工业废气超标排放的燃煤锅炉房，污染物排放超标的垃圾堆等。若有污染源应积极采取相应的治理措施并达到无超标污染物排放的要求。</w:t>
            </w:r>
          </w:p>
        </w:tc>
        <w:tc>
          <w:tcPr>
            <w:tcW w:w="1009" w:type="pct"/>
            <w:gridSpan w:val="3"/>
            <w:vAlign w:val="center"/>
          </w:tcPr>
          <w:p w14:paraId="6E3BABBF" w14:textId="09B79250"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查阅环评报告、治理措施分析报告；评价查阅环评报告、治理措施分析报告。</w:t>
            </w:r>
          </w:p>
        </w:tc>
        <w:tc>
          <w:tcPr>
            <w:tcW w:w="584" w:type="pct"/>
            <w:vAlign w:val="center"/>
          </w:tcPr>
          <w:p w14:paraId="0238B53A" w14:textId="15190A47"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4212AA93" w14:textId="77777777" w:rsidTr="002C1843">
        <w:tc>
          <w:tcPr>
            <w:tcW w:w="240" w:type="pct"/>
            <w:vMerge/>
            <w:vAlign w:val="center"/>
          </w:tcPr>
          <w:p w14:paraId="43714AA8"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6C49D9E2" w14:textId="07AE4B11"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.1.</w:t>
            </w:r>
            <w:r w:rsidRPr="00356770">
              <w:rPr>
                <w:rFonts w:asciiTheme="majorEastAsia" w:eastAsiaTheme="majorEastAsia" w:hAnsiTheme="majorEastAsia" w:cstheme="majorEastAsia"/>
                <w:color w:val="0D0D0D" w:themeColor="text1" w:themeTint="F2"/>
                <w:szCs w:val="21"/>
              </w:rPr>
              <w:t>7</w:t>
            </w:r>
          </w:p>
        </w:tc>
        <w:tc>
          <w:tcPr>
            <w:tcW w:w="1263" w:type="pct"/>
            <w:vAlign w:val="center"/>
          </w:tcPr>
          <w:p w14:paraId="68389E8C" w14:textId="22AF12F6" w:rsidR="002C1843" w:rsidRPr="00356770" w:rsidRDefault="002C1843" w:rsidP="00C05622">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生活垃圾应分类收集，垃圾容器和收集点的设置应合理，并应与周围景观协调。</w:t>
            </w:r>
          </w:p>
        </w:tc>
        <w:tc>
          <w:tcPr>
            <w:tcW w:w="1298" w:type="pct"/>
            <w:gridSpan w:val="3"/>
            <w:vAlign w:val="center"/>
          </w:tcPr>
          <w:p w14:paraId="6274BA63"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根据垃圾产生量和种类合理设置垃圾分类收集设施，其中有害垃圾必须单独收集、单独清运。垃圾收集设施规格和位置应符合国家有关标准的规定，其数量、外观色彩及标志应符合垃圾分类收集的要求，并置于隐蔽、避风处，与周围景观相协调。垃圾收集设施应坚固耐用，防止垃圾无序倾倒和露天堆放。</w:t>
            </w:r>
          </w:p>
          <w:p w14:paraId="5F274CFB" w14:textId="331F5210"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在垃圾容器和收集点布置时，重视垃圾容器和收集点的环境卫生与景观美化问题，做到密闭并相对位置固定，如果按规划需配垃圾收集站，应能具备定期冲洗，消杀条件，并能及时做到密闭清运。</w:t>
            </w:r>
          </w:p>
        </w:tc>
        <w:tc>
          <w:tcPr>
            <w:tcW w:w="1009" w:type="pct"/>
            <w:gridSpan w:val="3"/>
            <w:vAlign w:val="center"/>
          </w:tcPr>
          <w:p w14:paraId="01C11726" w14:textId="539C1171"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查阅相关设计文件、垃圾收集设施布置图；评价查阅相关竣工图、垃圾收集设施布置图，投入使 用的项目尚应查阅相关管理制度。</w:t>
            </w:r>
          </w:p>
        </w:tc>
        <w:tc>
          <w:tcPr>
            <w:tcW w:w="584" w:type="pct"/>
            <w:vAlign w:val="center"/>
          </w:tcPr>
          <w:p w14:paraId="67A1B7BD" w14:textId="7CAC00C2"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满足</w:t>
            </w:r>
          </w:p>
        </w:tc>
      </w:tr>
      <w:tr w:rsidR="00356770" w:rsidRPr="00356770" w14:paraId="1D6950F9" w14:textId="77777777" w:rsidTr="002C1843">
        <w:trPr>
          <w:trHeight w:val="248"/>
        </w:trPr>
        <w:tc>
          <w:tcPr>
            <w:tcW w:w="240" w:type="pct"/>
            <w:vMerge/>
            <w:vAlign w:val="center"/>
          </w:tcPr>
          <w:p w14:paraId="1F2A49AF"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34598ADA"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2561" w:type="pct"/>
            <w:gridSpan w:val="4"/>
            <w:vAlign w:val="center"/>
          </w:tcPr>
          <w:p w14:paraId="6A30A396" w14:textId="017D2F3B"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用于基本</w:t>
            </w:r>
            <w:proofErr w:type="gramStart"/>
            <w:r w:rsidRPr="00356770">
              <w:rPr>
                <w:rFonts w:asciiTheme="majorEastAsia" w:eastAsiaTheme="majorEastAsia" w:hAnsiTheme="majorEastAsia" w:cstheme="majorEastAsia" w:hint="eastAsia"/>
                <w:color w:val="0D0D0D" w:themeColor="text1" w:themeTint="F2"/>
                <w:szCs w:val="21"/>
              </w:rPr>
              <w:t>级评价</w:t>
            </w:r>
            <w:proofErr w:type="gramEnd"/>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用于星级控制</w:t>
            </w:r>
            <w:proofErr w:type="gramStart"/>
            <w:r w:rsidRPr="00356770">
              <w:rPr>
                <w:rFonts w:asciiTheme="majorEastAsia" w:eastAsiaTheme="majorEastAsia" w:hAnsiTheme="majorEastAsia" w:cstheme="majorEastAsia" w:hint="eastAsia"/>
                <w:color w:val="0D0D0D" w:themeColor="text1" w:themeTint="F2"/>
                <w:szCs w:val="21"/>
              </w:rPr>
              <w:t>项评价</w:t>
            </w:r>
            <w:proofErr w:type="gramEnd"/>
            <w:r w:rsidRPr="00356770">
              <w:rPr>
                <w:rFonts w:asciiTheme="majorEastAsia" w:eastAsiaTheme="majorEastAsia" w:hAnsiTheme="majorEastAsia" w:cstheme="majorEastAsia" w:hint="eastAsia"/>
                <w:color w:val="0D0D0D" w:themeColor="text1" w:themeTint="F2"/>
                <w:szCs w:val="21"/>
              </w:rPr>
              <w:t>□</w:t>
            </w:r>
          </w:p>
        </w:tc>
        <w:tc>
          <w:tcPr>
            <w:tcW w:w="1593" w:type="pct"/>
            <w:gridSpan w:val="4"/>
            <w:vAlign w:val="center"/>
          </w:tcPr>
          <w:p w14:paraId="67009BE3" w14:textId="4B11959D"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评价结果：满足</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color w:val="0D0D0D" w:themeColor="text1" w:themeTint="F2"/>
                <w:szCs w:val="21"/>
              </w:rPr>
              <w:t xml:space="preserve"> 不满足□</w:t>
            </w:r>
          </w:p>
        </w:tc>
      </w:tr>
      <w:tr w:rsidR="00356770" w:rsidRPr="00356770" w14:paraId="26AE42F5" w14:textId="77777777" w:rsidTr="002C1843">
        <w:trPr>
          <w:trHeight w:val="207"/>
        </w:trPr>
        <w:tc>
          <w:tcPr>
            <w:tcW w:w="240" w:type="pct"/>
            <w:vMerge w:val="restart"/>
            <w:vAlign w:val="center"/>
          </w:tcPr>
          <w:p w14:paraId="6C541D72"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w:t>
            </w:r>
          </w:p>
          <w:p w14:paraId="71FA9912"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分</w:t>
            </w:r>
          </w:p>
          <w:p w14:paraId="35CF2EB7"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项</w:t>
            </w:r>
          </w:p>
        </w:tc>
        <w:tc>
          <w:tcPr>
            <w:tcW w:w="606" w:type="pct"/>
            <w:vAlign w:val="center"/>
          </w:tcPr>
          <w:p w14:paraId="684000F7" w14:textId="52CD4DB4"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.2.1</w:t>
            </w:r>
          </w:p>
        </w:tc>
        <w:tc>
          <w:tcPr>
            <w:tcW w:w="1278" w:type="pct"/>
            <w:gridSpan w:val="3"/>
            <w:vAlign w:val="center"/>
          </w:tcPr>
          <w:p w14:paraId="3A05F172" w14:textId="09AE7371" w:rsidR="002C1843" w:rsidRPr="00356770" w:rsidRDefault="002C1843" w:rsidP="002C1843">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充分保护或修复场地生态环境，合理布局建筑及景观，</w:t>
            </w:r>
            <w:proofErr w:type="gramStart"/>
            <w:r w:rsidRPr="00356770">
              <w:rPr>
                <w:rFonts w:asciiTheme="majorEastAsia" w:eastAsiaTheme="majorEastAsia" w:hAnsiTheme="majorEastAsia" w:cstheme="majorEastAsia" w:hint="eastAsia"/>
                <w:color w:val="0D0D0D" w:themeColor="text1" w:themeTint="F2"/>
                <w:szCs w:val="21"/>
              </w:rPr>
              <w:t>评价总分</w:t>
            </w:r>
            <w:r w:rsidRPr="00356770">
              <w:rPr>
                <w:rFonts w:asciiTheme="majorEastAsia" w:eastAsiaTheme="majorEastAsia" w:hAnsiTheme="majorEastAsia" w:cstheme="majorEastAsia" w:hint="eastAsia"/>
                <w:color w:val="0D0D0D" w:themeColor="text1" w:themeTint="F2"/>
                <w:szCs w:val="21"/>
              </w:rPr>
              <w:lastRenderedPageBreak/>
              <w:t>值</w:t>
            </w:r>
            <w:proofErr w:type="gramEnd"/>
            <w:r w:rsidRPr="00356770">
              <w:rPr>
                <w:rFonts w:asciiTheme="majorEastAsia" w:eastAsiaTheme="majorEastAsia" w:hAnsiTheme="majorEastAsia" w:cstheme="majorEastAsia" w:hint="eastAsia"/>
                <w:color w:val="0D0D0D" w:themeColor="text1" w:themeTint="F2"/>
                <w:szCs w:val="21"/>
              </w:rPr>
              <w:t>为10分，并按下列规则评分：</w:t>
            </w:r>
          </w:p>
          <w:p w14:paraId="110C7EF4"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保护场地内原有的自然水域、湿地、植被等，保持场地内的生态系统与场地外生态系统的连贯性，得10分。</w:t>
            </w:r>
          </w:p>
          <w:p w14:paraId="276F16A2"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采取净地表层土回收利用等生态补偿措施，得10分。</w:t>
            </w:r>
          </w:p>
          <w:p w14:paraId="6BC3FCF8"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根据场地实际状况，采取其他生态恢复或补偿措施，得10分。</w:t>
            </w:r>
          </w:p>
          <w:p w14:paraId="7A71DF71"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1283" w:type="pct"/>
            <w:vAlign w:val="center"/>
          </w:tcPr>
          <w:p w14:paraId="58CCB82B"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款，建设项目应对场地的地形和场地内可利用的资源进行勘</w:t>
            </w:r>
            <w:r w:rsidRPr="00356770">
              <w:rPr>
                <w:rFonts w:asciiTheme="majorEastAsia" w:eastAsiaTheme="majorEastAsia" w:hAnsiTheme="majorEastAsia" w:cstheme="majorEastAsia"/>
                <w:color w:val="0D0D0D" w:themeColor="text1" w:themeTint="F2"/>
                <w:szCs w:val="21"/>
              </w:rPr>
              <w:lastRenderedPageBreak/>
              <w:t>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w:t>
            </w:r>
            <w:r w:rsidRPr="00356770">
              <w:rPr>
                <w:rFonts w:asciiTheme="majorEastAsia" w:eastAsiaTheme="majorEastAsia" w:hAnsiTheme="majorEastAsia" w:cstheme="majorEastAsia" w:hint="eastAsia"/>
                <w:color w:val="0D0D0D" w:themeColor="text1" w:themeTint="F2"/>
                <w:szCs w:val="21"/>
              </w:rPr>
              <w:t>于</w:t>
            </w:r>
            <w:r w:rsidRPr="00356770">
              <w:rPr>
                <w:rFonts w:asciiTheme="majorEastAsia" w:eastAsiaTheme="majorEastAsia" w:hAnsiTheme="majorEastAsia" w:cstheme="majorEastAsia"/>
                <w:color w:val="0D0D0D" w:themeColor="text1" w:themeTint="F2"/>
                <w:szCs w:val="21"/>
              </w:rPr>
              <w:t xml:space="preserve">生态建设和保护。 </w:t>
            </w:r>
          </w:p>
          <w:p w14:paraId="40C2300C"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款，表层土含有丰富的有机质、矿物质和微量元素，适合植物和微生物的生长，有利于生态环境的恢复</w:t>
            </w:r>
            <w:r w:rsidRPr="00356770">
              <w:rPr>
                <w:rFonts w:asciiTheme="majorEastAsia" w:eastAsiaTheme="majorEastAsia" w:hAnsiTheme="majorEastAsia" w:cstheme="majorEastAsia" w:hint="eastAsia"/>
                <w:color w:val="0D0D0D" w:themeColor="text1" w:themeTint="F2"/>
                <w:szCs w:val="21"/>
              </w:rPr>
              <w:t>。</w:t>
            </w:r>
          </w:p>
          <w:p w14:paraId="7D95D879" w14:textId="74BA21CF"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款，基于场地资源与生态诊断的科学规划设计，在开发建设的同时采取符合场地实际的技术措施，并提供足够证据表明该技术措施可有效实现生态恢复或生态补偿，可参与评审。</w:t>
            </w:r>
          </w:p>
        </w:tc>
        <w:tc>
          <w:tcPr>
            <w:tcW w:w="1009" w:type="pct"/>
            <w:gridSpan w:val="3"/>
            <w:vAlign w:val="center"/>
          </w:tcPr>
          <w:p w14:paraId="789EA5D8" w14:textId="23B00028"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查阅场地原地形图、相关设计文件（带地</w:t>
            </w:r>
            <w:r w:rsidRPr="00356770">
              <w:rPr>
                <w:rFonts w:asciiTheme="majorEastAsia" w:eastAsiaTheme="majorEastAsia" w:hAnsiTheme="majorEastAsia" w:cstheme="majorEastAsia"/>
                <w:color w:val="0D0D0D" w:themeColor="text1" w:themeTint="F2"/>
                <w:szCs w:val="21"/>
              </w:rPr>
              <w:lastRenderedPageBreak/>
              <w:t>形的规划设计图、总平面图、竖向设计图、景观设计总 平面图）；评价查阅相关竣工图、生态补偿方案（植被保护方案及记录、水面保留方案、表层</w:t>
            </w:r>
            <w:proofErr w:type="gramStart"/>
            <w:r w:rsidRPr="00356770">
              <w:rPr>
                <w:rFonts w:asciiTheme="majorEastAsia" w:eastAsiaTheme="majorEastAsia" w:hAnsiTheme="majorEastAsia" w:cstheme="majorEastAsia"/>
                <w:color w:val="0D0D0D" w:themeColor="text1" w:themeTint="F2"/>
                <w:szCs w:val="21"/>
              </w:rPr>
              <w:t>土利用</w:t>
            </w:r>
            <w:proofErr w:type="gramEnd"/>
            <w:r w:rsidRPr="00356770">
              <w:rPr>
                <w:rFonts w:asciiTheme="majorEastAsia" w:eastAsiaTheme="majorEastAsia" w:hAnsiTheme="majorEastAsia" w:cstheme="majorEastAsia"/>
                <w:color w:val="0D0D0D" w:themeColor="text1" w:themeTint="F2"/>
                <w:szCs w:val="21"/>
              </w:rPr>
              <w:t>相关图纸或说明文件等）、施工记录、影像材料。</w:t>
            </w:r>
          </w:p>
        </w:tc>
        <w:tc>
          <w:tcPr>
            <w:tcW w:w="584" w:type="pct"/>
            <w:vAlign w:val="center"/>
          </w:tcPr>
          <w:p w14:paraId="794D5477" w14:textId="34A87E5F"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22"/>
                <w:szCs w:val="22"/>
              </w:rPr>
              <w:lastRenderedPageBreak/>
              <w:t>1</w:t>
            </w:r>
            <w:r w:rsidRPr="00356770">
              <w:rPr>
                <w:rFonts w:asciiTheme="majorEastAsia" w:eastAsiaTheme="majorEastAsia" w:hAnsiTheme="majorEastAsia" w:cstheme="majorEastAsia"/>
                <w:color w:val="0D0D0D" w:themeColor="text1" w:themeTint="F2"/>
                <w:sz w:val="22"/>
                <w:szCs w:val="22"/>
              </w:rPr>
              <w:t>0</w:t>
            </w:r>
          </w:p>
        </w:tc>
      </w:tr>
      <w:tr w:rsidR="00356770" w:rsidRPr="00356770" w14:paraId="570CDFBC" w14:textId="77777777" w:rsidTr="002C1843">
        <w:trPr>
          <w:trHeight w:val="139"/>
        </w:trPr>
        <w:tc>
          <w:tcPr>
            <w:tcW w:w="240" w:type="pct"/>
            <w:vMerge/>
            <w:vAlign w:val="center"/>
          </w:tcPr>
          <w:p w14:paraId="064B6FDF"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170F80B3" w14:textId="6D847B97"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.2.2</w:t>
            </w:r>
          </w:p>
        </w:tc>
        <w:tc>
          <w:tcPr>
            <w:tcW w:w="1278" w:type="pct"/>
            <w:gridSpan w:val="3"/>
            <w:vAlign w:val="center"/>
          </w:tcPr>
          <w:p w14:paraId="48C91FD4" w14:textId="0CEA108E"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规划场地地表和屋面雨水径流，对场地雨水实施外排总量控制，</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为10分。场地年径流总量控制率达到55％，得5分；达到70％，得10分。</w:t>
            </w:r>
          </w:p>
        </w:tc>
        <w:tc>
          <w:tcPr>
            <w:tcW w:w="1283" w:type="pct"/>
            <w:vAlign w:val="center"/>
          </w:tcPr>
          <w:p w14:paraId="66D6E8D2" w14:textId="2E67F1E6"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外排总量控制包括径流减排、污染控制、雨水调节和收集回用等，应依据场地的实际情况，通过合理的技术经济比较，来确定最优方案。</w:t>
            </w:r>
          </w:p>
        </w:tc>
        <w:tc>
          <w:tcPr>
            <w:tcW w:w="1009" w:type="pct"/>
            <w:gridSpan w:val="3"/>
            <w:vAlign w:val="center"/>
          </w:tcPr>
          <w:p w14:paraId="5DAEB434" w14:textId="64B7C36B"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查阅相关设计文件、年径流总量控制率计算书、设计控制雨量计算书、场地雨水综合利用方案或 专项设计文件；评价查阅相关竣工图、年径流总量控制率计算书、设计控制雨量计算书、</w:t>
            </w:r>
            <w:r w:rsidRPr="00356770">
              <w:rPr>
                <w:rFonts w:asciiTheme="majorEastAsia" w:eastAsiaTheme="majorEastAsia" w:hAnsiTheme="majorEastAsia" w:cstheme="majorEastAsia"/>
                <w:color w:val="0D0D0D" w:themeColor="text1" w:themeTint="F2"/>
                <w:szCs w:val="21"/>
              </w:rPr>
              <w:lastRenderedPageBreak/>
              <w:t>场地雨水综合利用方案或专项设计文件。</w:t>
            </w:r>
          </w:p>
        </w:tc>
        <w:tc>
          <w:tcPr>
            <w:tcW w:w="584" w:type="pct"/>
            <w:vAlign w:val="center"/>
          </w:tcPr>
          <w:p w14:paraId="124408A8" w14:textId="3F04D48F"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5</w:t>
            </w:r>
          </w:p>
        </w:tc>
      </w:tr>
      <w:tr w:rsidR="00356770" w:rsidRPr="00356770" w14:paraId="67D8243B" w14:textId="77777777" w:rsidTr="002C1843">
        <w:trPr>
          <w:trHeight w:val="299"/>
        </w:trPr>
        <w:tc>
          <w:tcPr>
            <w:tcW w:w="240" w:type="pct"/>
            <w:vMerge/>
            <w:vAlign w:val="center"/>
          </w:tcPr>
          <w:p w14:paraId="23F00CCF"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B282F0D" w14:textId="77ED82EC"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3</w:t>
            </w:r>
          </w:p>
        </w:tc>
        <w:tc>
          <w:tcPr>
            <w:tcW w:w="1278" w:type="pct"/>
            <w:gridSpan w:val="3"/>
            <w:vAlign w:val="center"/>
          </w:tcPr>
          <w:p w14:paraId="78D0C8EB" w14:textId="1D9417AF" w:rsidR="002C1843" w:rsidRPr="00356770" w:rsidRDefault="002C1843" w:rsidP="00C05622">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充分利用场地空间设置绿化用地，</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为16分，并按下列规则评分：2 公共建筑按下列规则分别评分并累计：</w:t>
            </w:r>
          </w:p>
          <w:p w14:paraId="7CB8D288"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1)公共建筑绿地率达到规划指标105％及以上，得10分；</w:t>
            </w:r>
          </w:p>
          <w:p w14:paraId="5971B2A7"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2)绿地向公众开放，得6分。</w:t>
            </w:r>
          </w:p>
          <w:p w14:paraId="5FA1D4FF"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1283" w:type="pct"/>
            <w:vAlign w:val="center"/>
          </w:tcPr>
          <w:p w14:paraId="5E751B38" w14:textId="79DF8542"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绿地率指建设项目用地范围内各类绿地面积的总和占该项目总用地面积的比率（％）。绿地包括建设项目用地中各类用作绿化的用地。合理设置绿地可起到改善和美化环境、调节小气候、缓解城市热岛效应等作用。绿地率以及公共绿地的数量是</w:t>
            </w:r>
            <w:proofErr w:type="gramStart"/>
            <w:r w:rsidRPr="00356770">
              <w:rPr>
                <w:rFonts w:asciiTheme="majorEastAsia" w:eastAsiaTheme="majorEastAsia" w:hAnsiTheme="majorEastAsia" w:cstheme="majorEastAsia"/>
                <w:color w:val="0D0D0D" w:themeColor="text1" w:themeTint="F2"/>
                <w:szCs w:val="21"/>
              </w:rPr>
              <w:t>衡量住</w:t>
            </w:r>
            <w:proofErr w:type="gramEnd"/>
            <w:r w:rsidRPr="00356770">
              <w:rPr>
                <w:rFonts w:asciiTheme="majorEastAsia" w:eastAsiaTheme="majorEastAsia" w:hAnsiTheme="majorEastAsia" w:cstheme="majorEastAsia"/>
                <w:color w:val="0D0D0D" w:themeColor="text1" w:themeTint="F2"/>
                <w:szCs w:val="21"/>
              </w:rPr>
              <w:t>区环境质量的重要指标之一。</w:t>
            </w:r>
          </w:p>
        </w:tc>
        <w:tc>
          <w:tcPr>
            <w:tcW w:w="1009" w:type="pct"/>
            <w:gridSpan w:val="3"/>
            <w:vAlign w:val="center"/>
          </w:tcPr>
          <w:p w14:paraId="4DA2125A" w14:textId="0F0837F4"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查阅规划许可的设计条件、相关设计文件、日照分析报告、绿地率计算书；评价查阅相关竣工图、绿地率计算书。</w:t>
            </w:r>
          </w:p>
        </w:tc>
        <w:tc>
          <w:tcPr>
            <w:tcW w:w="584" w:type="pct"/>
            <w:vAlign w:val="center"/>
          </w:tcPr>
          <w:p w14:paraId="5DA6ECD2" w14:textId="375B47D1"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6</w:t>
            </w:r>
          </w:p>
        </w:tc>
      </w:tr>
      <w:tr w:rsidR="00356770" w:rsidRPr="00356770" w14:paraId="2ACC8563" w14:textId="77777777" w:rsidTr="002C1843">
        <w:trPr>
          <w:trHeight w:val="299"/>
        </w:trPr>
        <w:tc>
          <w:tcPr>
            <w:tcW w:w="240" w:type="pct"/>
            <w:vMerge/>
            <w:vAlign w:val="center"/>
          </w:tcPr>
          <w:p w14:paraId="1592F165"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1437EBE" w14:textId="26A18AFE"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4</w:t>
            </w:r>
          </w:p>
        </w:tc>
        <w:tc>
          <w:tcPr>
            <w:tcW w:w="1278" w:type="pct"/>
            <w:gridSpan w:val="3"/>
            <w:vAlign w:val="center"/>
          </w:tcPr>
          <w:p w14:paraId="49575299" w14:textId="4F918B26" w:rsidR="002C1843" w:rsidRPr="00356770" w:rsidRDefault="002C1843" w:rsidP="00C05622">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室外吸烟区位置布局合理，</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为9分，并按下列规则分别评分并累计：</w:t>
            </w:r>
          </w:p>
          <w:p w14:paraId="360891F2"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室外吸烟区布置在建筑主出入口的主导风的下风向，与所有建筑出入口、新风进气口和</w:t>
            </w:r>
            <w:proofErr w:type="gramStart"/>
            <w:r w:rsidRPr="00356770">
              <w:rPr>
                <w:rFonts w:asciiTheme="majorEastAsia" w:eastAsiaTheme="majorEastAsia" w:hAnsiTheme="majorEastAsia" w:cstheme="majorEastAsia" w:hint="eastAsia"/>
                <w:color w:val="0D0D0D" w:themeColor="text1" w:themeTint="F2"/>
                <w:szCs w:val="21"/>
              </w:rPr>
              <w:t>可</w:t>
            </w:r>
            <w:proofErr w:type="gramEnd"/>
            <w:r w:rsidRPr="00356770">
              <w:rPr>
                <w:rFonts w:asciiTheme="majorEastAsia" w:eastAsiaTheme="majorEastAsia" w:hAnsiTheme="majorEastAsia" w:cstheme="majorEastAsia" w:hint="eastAsia"/>
                <w:color w:val="0D0D0D" w:themeColor="text1" w:themeTint="F2"/>
                <w:szCs w:val="21"/>
              </w:rPr>
              <w:t>开启窗扇的距离不少于8m，且距离儿童和老人活动场地不少于8m，得5分；</w:t>
            </w:r>
          </w:p>
          <w:p w14:paraId="01D3CD01"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室外吸烟区与</w:t>
            </w:r>
            <w:proofErr w:type="gramStart"/>
            <w:r w:rsidRPr="00356770">
              <w:rPr>
                <w:rFonts w:asciiTheme="majorEastAsia" w:eastAsiaTheme="majorEastAsia" w:hAnsiTheme="majorEastAsia" w:cstheme="majorEastAsia" w:hint="eastAsia"/>
                <w:color w:val="0D0D0D" w:themeColor="text1" w:themeTint="F2"/>
                <w:szCs w:val="21"/>
              </w:rPr>
              <w:t>绿植结合</w:t>
            </w:r>
            <w:proofErr w:type="gramEnd"/>
            <w:r w:rsidRPr="00356770">
              <w:rPr>
                <w:rFonts w:asciiTheme="majorEastAsia" w:eastAsiaTheme="majorEastAsia" w:hAnsiTheme="majorEastAsia" w:cstheme="majorEastAsia" w:hint="eastAsia"/>
                <w:color w:val="0D0D0D" w:themeColor="text1" w:themeTint="F2"/>
                <w:szCs w:val="21"/>
              </w:rPr>
              <w:t>布置，并合理配置座椅和带烟头收集的垃圾筒，从建筑主出入口至室外吸烟区的导向标识完整、定位标识醒目，吸烟区设置吸烟有害健康的警示标识，得4分。</w:t>
            </w:r>
          </w:p>
          <w:p w14:paraId="55620AB3"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1283" w:type="pct"/>
            <w:vAlign w:val="center"/>
          </w:tcPr>
          <w:p w14:paraId="2D416067" w14:textId="555D571C"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室外吸烟区的选择还须避免人员密集区、有遮阴的人员聚集区，建筑出入口、</w:t>
            </w:r>
            <w:proofErr w:type="gramStart"/>
            <w:r w:rsidRPr="00356770">
              <w:rPr>
                <w:rFonts w:asciiTheme="majorEastAsia" w:eastAsiaTheme="majorEastAsia" w:hAnsiTheme="majorEastAsia" w:cstheme="majorEastAsia"/>
                <w:color w:val="0D0D0D" w:themeColor="text1" w:themeTint="F2"/>
                <w:szCs w:val="21"/>
              </w:rPr>
              <w:t>雨篷等半开敞</w:t>
            </w:r>
            <w:proofErr w:type="gramEnd"/>
            <w:r w:rsidRPr="00356770">
              <w:rPr>
                <w:rFonts w:asciiTheme="majorEastAsia" w:eastAsiaTheme="majorEastAsia" w:hAnsiTheme="majorEastAsia" w:cstheme="majorEastAsia"/>
                <w:color w:val="0D0D0D" w:themeColor="text1" w:themeTint="F2"/>
                <w:szCs w:val="21"/>
              </w:rPr>
              <w:t>的空间、可开启窗户、建筑新风引入口、儿童年和老年人活动区域等位置，吸烟区内须配置垃圾筒和吸烟有害健康的警示标识。</w:t>
            </w:r>
          </w:p>
        </w:tc>
        <w:tc>
          <w:tcPr>
            <w:tcW w:w="1009" w:type="pct"/>
            <w:gridSpan w:val="3"/>
            <w:vAlign w:val="center"/>
          </w:tcPr>
          <w:p w14:paraId="401C0E0F" w14:textId="190EA422"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w:t>
            </w:r>
          </w:p>
        </w:tc>
        <w:tc>
          <w:tcPr>
            <w:tcW w:w="584" w:type="pct"/>
            <w:vAlign w:val="center"/>
          </w:tcPr>
          <w:p w14:paraId="0F542999" w14:textId="73A363B8"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04CD6913" w14:textId="77777777" w:rsidTr="002C1843">
        <w:trPr>
          <w:trHeight w:val="299"/>
        </w:trPr>
        <w:tc>
          <w:tcPr>
            <w:tcW w:w="240" w:type="pct"/>
            <w:vMerge/>
            <w:vAlign w:val="center"/>
          </w:tcPr>
          <w:p w14:paraId="0950D611"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7D310388" w14:textId="16CA5FD1"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5</w:t>
            </w:r>
          </w:p>
        </w:tc>
        <w:tc>
          <w:tcPr>
            <w:tcW w:w="1278" w:type="pct"/>
            <w:gridSpan w:val="3"/>
            <w:vAlign w:val="center"/>
          </w:tcPr>
          <w:p w14:paraId="61BB7674" w14:textId="22DB3BCA" w:rsidR="002C1843" w:rsidRPr="00356770" w:rsidRDefault="002C1843" w:rsidP="00C05622">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利用场地空间设置绿色雨水基础设施，</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为15分，并按下列规则分别评分并累计：</w:t>
            </w:r>
          </w:p>
          <w:p w14:paraId="6FBC32A1"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下凹式绿地、雨水花园等有调蓄雨水功能</w:t>
            </w:r>
            <w:r w:rsidRPr="00356770">
              <w:rPr>
                <w:rFonts w:asciiTheme="majorEastAsia" w:eastAsiaTheme="majorEastAsia" w:hAnsiTheme="majorEastAsia" w:cstheme="majorEastAsia" w:hint="eastAsia"/>
                <w:color w:val="0D0D0D" w:themeColor="text1" w:themeTint="F2"/>
                <w:szCs w:val="21"/>
              </w:rPr>
              <w:lastRenderedPageBreak/>
              <w:t>的绿地和水体的面积之和占绿地面积的比例达到40％，得3分；达到60％，得5分；</w:t>
            </w:r>
          </w:p>
          <w:p w14:paraId="21EF394F"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衔接和引导不少于80％的屋面雨水进入地面生态设施，得3分；</w:t>
            </w:r>
          </w:p>
          <w:p w14:paraId="7176580C"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衔接和引导不少于80％的道路雨水进入地面生态设施，得4分；</w:t>
            </w:r>
          </w:p>
          <w:p w14:paraId="641CC815"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 硬质铺装地面中透水铺装面积的比例达到50％，得3分。</w:t>
            </w:r>
          </w:p>
          <w:p w14:paraId="5C616730"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1283" w:type="pct"/>
            <w:vAlign w:val="center"/>
          </w:tcPr>
          <w:p w14:paraId="1FC07887" w14:textId="3F34B40E"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绿色雨水基础设施有雨水花园、下凹式绿地、屋顶绿化、植被浅沟、截污设施、渗透设施、雨水塘、雨水湿地、景观水体等。绿色雨水基础设</w:t>
            </w:r>
            <w:r w:rsidRPr="00356770">
              <w:rPr>
                <w:rFonts w:asciiTheme="majorEastAsia" w:eastAsiaTheme="majorEastAsia" w:hAnsiTheme="majorEastAsia" w:cstheme="majorEastAsia"/>
                <w:color w:val="0D0D0D" w:themeColor="text1" w:themeTint="F2"/>
                <w:szCs w:val="21"/>
              </w:rPr>
              <w:lastRenderedPageBreak/>
              <w:t>施有别</w:t>
            </w:r>
            <w:proofErr w:type="gramStart"/>
            <w:r w:rsidRPr="00356770">
              <w:rPr>
                <w:rFonts w:asciiTheme="majorEastAsia" w:eastAsiaTheme="majorEastAsia" w:hAnsiTheme="majorEastAsia" w:cstheme="majorEastAsia"/>
                <w:color w:val="0D0D0D" w:themeColor="text1" w:themeTint="F2"/>
                <w:szCs w:val="21"/>
              </w:rPr>
              <w:t>千传统</w:t>
            </w:r>
            <w:proofErr w:type="gramEnd"/>
            <w:r w:rsidRPr="00356770">
              <w:rPr>
                <w:rFonts w:asciiTheme="majorEastAsia" w:eastAsiaTheme="majorEastAsia" w:hAnsiTheme="majorEastAsia" w:cstheme="majorEastAsia"/>
                <w:color w:val="0D0D0D" w:themeColor="text1" w:themeTint="F2"/>
                <w:szCs w:val="21"/>
              </w:rPr>
              <w:t>的灰色雨水设施（雨水口、雨水管道、调蓄池等），能够以自然的方式削减雨水径流、控制径流污染、保护水环境。</w:t>
            </w:r>
          </w:p>
        </w:tc>
        <w:tc>
          <w:tcPr>
            <w:tcW w:w="1009" w:type="pct"/>
            <w:gridSpan w:val="3"/>
            <w:vAlign w:val="center"/>
          </w:tcPr>
          <w:p w14:paraId="35DC8F96" w14:textId="63EC6289"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w:t>
            </w:r>
            <w:proofErr w:type="gramStart"/>
            <w:r w:rsidRPr="00356770">
              <w:rPr>
                <w:rFonts w:asciiTheme="majorEastAsia" w:eastAsiaTheme="majorEastAsia" w:hAnsiTheme="majorEastAsia" w:cstheme="majorEastAsia"/>
                <w:color w:val="0D0D0D" w:themeColor="text1" w:themeTint="F2"/>
                <w:szCs w:val="21"/>
              </w:rPr>
              <w:t>含总平面图</w:t>
            </w:r>
            <w:proofErr w:type="gramEnd"/>
            <w:r w:rsidRPr="00356770">
              <w:rPr>
                <w:rFonts w:asciiTheme="majorEastAsia" w:eastAsiaTheme="majorEastAsia" w:hAnsiTheme="majorEastAsia" w:cstheme="majorEastAsia"/>
                <w:color w:val="0D0D0D" w:themeColor="text1" w:themeTint="F2"/>
                <w:szCs w:val="21"/>
              </w:rPr>
              <w:t>、景观设计图、室外给水排水总平面图等）、计算书；评价查阅相关竣工</w:t>
            </w:r>
            <w:r w:rsidRPr="00356770">
              <w:rPr>
                <w:rFonts w:asciiTheme="majorEastAsia" w:eastAsiaTheme="majorEastAsia" w:hAnsiTheme="majorEastAsia" w:cstheme="majorEastAsia"/>
                <w:color w:val="0D0D0D" w:themeColor="text1" w:themeTint="F2"/>
                <w:szCs w:val="21"/>
              </w:rPr>
              <w:lastRenderedPageBreak/>
              <w:t>图、计算书。</w:t>
            </w:r>
          </w:p>
        </w:tc>
        <w:tc>
          <w:tcPr>
            <w:tcW w:w="584" w:type="pct"/>
            <w:vAlign w:val="center"/>
          </w:tcPr>
          <w:p w14:paraId="697D3E56" w14:textId="7BC5F05F"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5</w:t>
            </w:r>
          </w:p>
        </w:tc>
      </w:tr>
      <w:tr w:rsidR="00356770" w:rsidRPr="00356770" w14:paraId="51682E4D" w14:textId="77777777" w:rsidTr="002C1843">
        <w:trPr>
          <w:trHeight w:val="299"/>
        </w:trPr>
        <w:tc>
          <w:tcPr>
            <w:tcW w:w="240" w:type="pct"/>
            <w:vMerge/>
            <w:vAlign w:val="center"/>
          </w:tcPr>
          <w:p w14:paraId="398CE794"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6D9CEDF5" w14:textId="325B1805"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6</w:t>
            </w:r>
          </w:p>
        </w:tc>
        <w:tc>
          <w:tcPr>
            <w:tcW w:w="1278" w:type="pct"/>
            <w:gridSpan w:val="3"/>
            <w:vAlign w:val="center"/>
          </w:tcPr>
          <w:p w14:paraId="7E8D1FB8" w14:textId="59C98409" w:rsidR="002C1843" w:rsidRPr="00356770" w:rsidRDefault="002C1843" w:rsidP="00C05622">
            <w:pPr>
              <w:ind w:firstLineChars="200" w:firstLine="42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场地内的环境噪声优于现行国家标准《声环境质量标准》GB 3096的要求，</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为10分，并按下列规则评分：</w:t>
            </w:r>
          </w:p>
          <w:p w14:paraId="0706E303"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环境噪声值大于2类声环境功能区标准限值，且小于或等于3类声环境功能区标准限值，得5分。</w:t>
            </w:r>
          </w:p>
          <w:p w14:paraId="3861BE00" w14:textId="2E3FA5A9"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环境噪声值小于或等于2类声环境功能区标准限值，得10分。</w:t>
            </w:r>
          </w:p>
        </w:tc>
        <w:tc>
          <w:tcPr>
            <w:tcW w:w="1283" w:type="pct"/>
            <w:vAlign w:val="center"/>
          </w:tcPr>
          <w:p w14:paraId="18C2D25B" w14:textId="5AC30761"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本条评价时，仅考虑室外环境噪声对人的影响，不考虑建筑所处的声环境功能分区，项目应尽可能地采取措施来实现环境噪声控制。本条既可以通过合理选址规划来实现，也可以通过设置125 植物防护等方式对室外场地的超标噪声进行降噪处理实现。有研究表明，</w:t>
            </w:r>
            <w:proofErr w:type="spellStart"/>
            <w:r w:rsidRPr="00356770">
              <w:rPr>
                <w:rFonts w:asciiTheme="majorEastAsia" w:eastAsiaTheme="majorEastAsia" w:hAnsiTheme="majorEastAsia" w:cstheme="majorEastAsia"/>
                <w:color w:val="0D0D0D" w:themeColor="text1" w:themeTint="F2"/>
                <w:szCs w:val="21"/>
              </w:rPr>
              <w:t>lO</w:t>
            </w:r>
            <w:r w:rsidRPr="00356770">
              <w:rPr>
                <w:rFonts w:asciiTheme="majorEastAsia" w:eastAsiaTheme="majorEastAsia" w:hAnsiTheme="majorEastAsia" w:cstheme="majorEastAsia" w:hint="eastAsia"/>
                <w:color w:val="0D0D0D" w:themeColor="text1" w:themeTint="F2"/>
                <w:szCs w:val="21"/>
              </w:rPr>
              <w:t>m</w:t>
            </w:r>
            <w:proofErr w:type="spellEnd"/>
            <w:r w:rsidRPr="00356770">
              <w:rPr>
                <w:rFonts w:asciiTheme="majorEastAsia" w:eastAsiaTheme="majorEastAsia" w:hAnsiTheme="majorEastAsia" w:cstheme="majorEastAsia"/>
                <w:color w:val="0D0D0D" w:themeColor="text1" w:themeTint="F2"/>
                <w:szCs w:val="21"/>
              </w:rPr>
              <w:t>左右宽的乔木林可实现噪声 5dBCA) 的降低。</w:t>
            </w:r>
          </w:p>
        </w:tc>
        <w:tc>
          <w:tcPr>
            <w:tcW w:w="1009" w:type="pct"/>
            <w:gridSpan w:val="3"/>
            <w:vAlign w:val="center"/>
          </w:tcPr>
          <w:p w14:paraId="050CA40F" w14:textId="06FEFCEB"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查阅环评报告（含有噪声检测及预测评价或独立的环境噪声影响测试评估报告）、相关设计文件、声环境优化报告；评价查阅相关竣工图、声环境检测报告。</w:t>
            </w:r>
          </w:p>
        </w:tc>
        <w:tc>
          <w:tcPr>
            <w:tcW w:w="584" w:type="pct"/>
            <w:vAlign w:val="center"/>
          </w:tcPr>
          <w:p w14:paraId="50FE935D" w14:textId="676E5EAA"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10</w:t>
            </w:r>
          </w:p>
        </w:tc>
      </w:tr>
      <w:tr w:rsidR="00356770" w:rsidRPr="00356770" w14:paraId="4785AC50" w14:textId="77777777" w:rsidTr="002C1843">
        <w:trPr>
          <w:trHeight w:val="299"/>
        </w:trPr>
        <w:tc>
          <w:tcPr>
            <w:tcW w:w="240" w:type="pct"/>
            <w:vMerge/>
            <w:vAlign w:val="center"/>
          </w:tcPr>
          <w:p w14:paraId="34A22190"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AEE6562" w14:textId="6B38AAB5"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7</w:t>
            </w:r>
          </w:p>
        </w:tc>
        <w:tc>
          <w:tcPr>
            <w:tcW w:w="1278" w:type="pct"/>
            <w:gridSpan w:val="3"/>
            <w:vAlign w:val="center"/>
          </w:tcPr>
          <w:p w14:paraId="7F396D54" w14:textId="145A57ED" w:rsidR="002C1843" w:rsidRPr="00356770" w:rsidRDefault="002C1843" w:rsidP="00C05622">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建筑及照明设计避免产生光污染，</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为10分，并按下列规则分别评分并累计：</w:t>
            </w:r>
          </w:p>
          <w:p w14:paraId="592424ED"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玻璃幕墙的可见光反射比及反射光对周边环境的影响符合《玻璃幕墙光热性能》GB/T 18091的规定，得5分；</w:t>
            </w:r>
          </w:p>
          <w:p w14:paraId="5AA98A36"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室外夜景照明光污染的限制符合现行国家标准《室外照明干扰光限制规范》GB/T 35626和</w:t>
            </w:r>
            <w:proofErr w:type="gramStart"/>
            <w:r w:rsidRPr="00356770">
              <w:rPr>
                <w:rFonts w:asciiTheme="majorEastAsia" w:eastAsiaTheme="majorEastAsia" w:hAnsiTheme="majorEastAsia" w:cstheme="majorEastAsia" w:hint="eastAsia"/>
                <w:color w:val="0D0D0D" w:themeColor="text1" w:themeTint="F2"/>
                <w:szCs w:val="21"/>
              </w:rPr>
              <w:t>现行行业</w:t>
            </w:r>
            <w:proofErr w:type="gramEnd"/>
            <w:r w:rsidRPr="00356770">
              <w:rPr>
                <w:rFonts w:asciiTheme="majorEastAsia" w:eastAsiaTheme="majorEastAsia" w:hAnsiTheme="majorEastAsia" w:cstheme="majorEastAsia" w:hint="eastAsia"/>
                <w:color w:val="0D0D0D" w:themeColor="text1" w:themeTint="F2"/>
                <w:szCs w:val="21"/>
              </w:rPr>
              <w:t>标准《城市夜景照明设计规范》JGJ/T 163的规</w:t>
            </w:r>
            <w:r w:rsidRPr="00356770">
              <w:rPr>
                <w:rFonts w:asciiTheme="majorEastAsia" w:eastAsiaTheme="majorEastAsia" w:hAnsiTheme="majorEastAsia" w:cstheme="majorEastAsia" w:hint="eastAsia"/>
                <w:color w:val="0D0D0D" w:themeColor="text1" w:themeTint="F2"/>
                <w:szCs w:val="21"/>
              </w:rPr>
              <w:lastRenderedPageBreak/>
              <w:t>定，得5分。</w:t>
            </w:r>
          </w:p>
          <w:p w14:paraId="36B432CC"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1283" w:type="pct"/>
            <w:vAlign w:val="center"/>
          </w:tcPr>
          <w:p w14:paraId="35282BF5" w14:textId="77777777"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光污染控制对策包括降低建筑物表面（玻璃和其他材料、涂料）的可见光反射比，合理选配照明器具，采取防止</w:t>
            </w:r>
            <w:proofErr w:type="gramStart"/>
            <w:r w:rsidRPr="00356770">
              <w:rPr>
                <w:rFonts w:asciiTheme="majorEastAsia" w:eastAsiaTheme="majorEastAsia" w:hAnsiTheme="majorEastAsia" w:cstheme="majorEastAsia"/>
                <w:color w:val="0D0D0D" w:themeColor="text1" w:themeTint="F2"/>
                <w:szCs w:val="21"/>
              </w:rPr>
              <w:t>溢光措施</w:t>
            </w:r>
            <w:proofErr w:type="gramEnd"/>
            <w:r w:rsidRPr="00356770">
              <w:rPr>
                <w:rFonts w:asciiTheme="majorEastAsia" w:eastAsiaTheme="majorEastAsia" w:hAnsiTheme="majorEastAsia" w:cstheme="majorEastAsia"/>
                <w:color w:val="0D0D0D" w:themeColor="text1" w:themeTint="F2"/>
                <w:szCs w:val="21"/>
              </w:rPr>
              <w:t>等。现行国家标准《玻璃幕墙光热性能》 GB/T 18091 将玻璃幕墙的光污染定义为有害光反射，对玻璃幕墙的可见光反射比作了规定。本条要求玻璃幕墙的可见光反射比及反射光对周边环境的影响符合</w:t>
            </w:r>
            <w:r w:rsidRPr="00356770">
              <w:rPr>
                <w:rFonts w:asciiTheme="majorEastAsia" w:eastAsiaTheme="majorEastAsia" w:hAnsiTheme="majorEastAsia" w:cstheme="majorEastAsia"/>
                <w:color w:val="0D0D0D" w:themeColor="text1" w:themeTint="F2"/>
                <w:szCs w:val="21"/>
              </w:rPr>
              <w:lastRenderedPageBreak/>
              <w:t xml:space="preserve">《玻璃幕墙光热性能》 GB/T 18091 的规定。 </w:t>
            </w:r>
          </w:p>
          <w:p w14:paraId="3A0D9FEA" w14:textId="612B36E2"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室外夜景照明设计应满足现行国家标准《室外照明干扰光限制规范》 GB/T 35626 和</w:t>
            </w:r>
            <w:proofErr w:type="gramStart"/>
            <w:r w:rsidRPr="00356770">
              <w:rPr>
                <w:rFonts w:asciiTheme="majorEastAsia" w:eastAsiaTheme="majorEastAsia" w:hAnsiTheme="majorEastAsia" w:cstheme="majorEastAsia"/>
                <w:color w:val="0D0D0D" w:themeColor="text1" w:themeTint="F2"/>
                <w:szCs w:val="21"/>
              </w:rPr>
              <w:t>现行行业</w:t>
            </w:r>
            <w:proofErr w:type="gramEnd"/>
            <w:r w:rsidRPr="00356770">
              <w:rPr>
                <w:rFonts w:asciiTheme="majorEastAsia" w:eastAsiaTheme="majorEastAsia" w:hAnsiTheme="majorEastAsia" w:cstheme="majorEastAsia"/>
                <w:color w:val="0D0D0D" w:themeColor="text1" w:themeTint="F2"/>
                <w:szCs w:val="21"/>
              </w:rPr>
              <w:t xml:space="preserve">标准《城市夜景照明设计规范》 JGJ/T 163 </w:t>
            </w:r>
            <w:proofErr w:type="gramStart"/>
            <w:r w:rsidRPr="00356770">
              <w:rPr>
                <w:rFonts w:asciiTheme="majorEastAsia" w:eastAsiaTheme="majorEastAsia" w:hAnsiTheme="majorEastAsia" w:cstheme="majorEastAsia"/>
                <w:color w:val="0D0D0D" w:themeColor="text1" w:themeTint="F2"/>
                <w:szCs w:val="21"/>
              </w:rPr>
              <w:t>中关千光污染</w:t>
            </w:r>
            <w:proofErr w:type="gramEnd"/>
            <w:r w:rsidRPr="00356770">
              <w:rPr>
                <w:rFonts w:asciiTheme="majorEastAsia" w:eastAsiaTheme="majorEastAsia" w:hAnsiTheme="majorEastAsia" w:cstheme="majorEastAsia"/>
                <w:color w:val="0D0D0D" w:themeColor="text1" w:themeTint="F2"/>
                <w:szCs w:val="21"/>
              </w:rPr>
              <w:t>控制的相关要求，并在室外照明设计图纸中体现。</w:t>
            </w:r>
          </w:p>
        </w:tc>
        <w:tc>
          <w:tcPr>
            <w:tcW w:w="1009" w:type="pct"/>
            <w:gridSpan w:val="3"/>
            <w:vAlign w:val="center"/>
          </w:tcPr>
          <w:p w14:paraId="37BCABC0" w14:textId="51E576FC"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查阅相关设计文件、光污染分析报告；评价查阅相关竣工图、光污染分析报告、检测报告。</w:t>
            </w:r>
          </w:p>
        </w:tc>
        <w:tc>
          <w:tcPr>
            <w:tcW w:w="584" w:type="pct"/>
            <w:vAlign w:val="center"/>
          </w:tcPr>
          <w:p w14:paraId="5C15B320" w14:textId="13D9549C"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5</w:t>
            </w:r>
            <w:r w:rsidRPr="00356770">
              <w:rPr>
                <w:rFonts w:asciiTheme="majorEastAsia" w:eastAsiaTheme="majorEastAsia" w:hAnsiTheme="majorEastAsia" w:cstheme="majorEastAsia"/>
                <w:color w:val="0D0D0D" w:themeColor="text1" w:themeTint="F2"/>
                <w:szCs w:val="21"/>
              </w:rPr>
              <w:t>+5</w:t>
            </w:r>
          </w:p>
        </w:tc>
      </w:tr>
      <w:tr w:rsidR="00356770" w:rsidRPr="00356770" w14:paraId="7225ED86" w14:textId="77777777" w:rsidTr="002C1843">
        <w:trPr>
          <w:trHeight w:val="8637"/>
        </w:trPr>
        <w:tc>
          <w:tcPr>
            <w:tcW w:w="240" w:type="pct"/>
            <w:vMerge/>
            <w:vAlign w:val="center"/>
          </w:tcPr>
          <w:p w14:paraId="332189B1"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8AC1A94" w14:textId="46365E95"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8</w:t>
            </w: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8</w:t>
            </w:r>
          </w:p>
        </w:tc>
        <w:tc>
          <w:tcPr>
            <w:tcW w:w="1278" w:type="pct"/>
            <w:gridSpan w:val="3"/>
            <w:vAlign w:val="center"/>
          </w:tcPr>
          <w:p w14:paraId="6B127730" w14:textId="20982159" w:rsidR="002C1843" w:rsidRPr="00356770" w:rsidRDefault="002C1843" w:rsidP="00C05622">
            <w:pPr>
              <w:ind w:firstLineChars="100" w:firstLine="21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场地内</w:t>
            </w:r>
            <w:proofErr w:type="gramStart"/>
            <w:r w:rsidRPr="00356770">
              <w:rPr>
                <w:rFonts w:asciiTheme="majorEastAsia" w:eastAsiaTheme="majorEastAsia" w:hAnsiTheme="majorEastAsia" w:cstheme="majorEastAsia" w:hint="eastAsia"/>
                <w:color w:val="0D0D0D" w:themeColor="text1" w:themeTint="F2"/>
                <w:szCs w:val="21"/>
              </w:rPr>
              <w:t>风环境</w:t>
            </w:r>
            <w:proofErr w:type="gramEnd"/>
            <w:r w:rsidRPr="00356770">
              <w:rPr>
                <w:rFonts w:asciiTheme="majorEastAsia" w:eastAsiaTheme="majorEastAsia" w:hAnsiTheme="majorEastAsia" w:cstheme="majorEastAsia" w:hint="eastAsia"/>
                <w:color w:val="0D0D0D" w:themeColor="text1" w:themeTint="F2"/>
                <w:szCs w:val="21"/>
              </w:rPr>
              <w:t>有利于室外行走、活动舒适和建筑的自然通风，</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为10分，并按下列规则分别评分并累计：</w:t>
            </w:r>
          </w:p>
          <w:p w14:paraId="3E735DE1"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在冬季典型风速和风向条件下，按下列规则分别评分并累计：</w:t>
            </w:r>
          </w:p>
          <w:p w14:paraId="6AE55AE0"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1)建筑物周围人行区距地高1.5m处风速小于5m/s，户外休息区、儿童娱乐区风速小于2m/s，且室外风速放大系数小于2，得3分；</w:t>
            </w:r>
          </w:p>
          <w:p w14:paraId="7BDC30EB"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2)除迎风第一排建筑外，建筑迎风面与背风面表面风压差不大于5Pa，得2分。</w:t>
            </w:r>
          </w:p>
          <w:p w14:paraId="494D96CA"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过渡季、夏季典型风速和风向条件下，按下列规则分别评分并累计：</w:t>
            </w:r>
          </w:p>
          <w:p w14:paraId="409EA11E"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1)场地内人活动区不出现涡旋或无风区，得3分；</w:t>
            </w:r>
          </w:p>
          <w:p w14:paraId="2097DEA8"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2)50％以上可开启外窗室内外表面的风压差大于0.5Pa，得2分。</w:t>
            </w:r>
          </w:p>
          <w:p w14:paraId="6D8459FC"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1283" w:type="pct"/>
            <w:vAlign w:val="center"/>
          </w:tcPr>
          <w:p w14:paraId="245D69F7" w14:textId="77777777" w:rsidR="00C05622"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人行区是指区域范围内功能或主要功能可供行人通行和停留的场所。冬季建筑物周围人行区距地 1.5m 高处风速小于5m/s 是不影响人们正常室外活动的基本要求。建筑的迎风面与背风面风压差不超过5Pa, 可以减少冷风向室内渗透。夏季、过渡季通风不畅在某些区域形成尤风区或涡旋区，将影响室外散热和污染物消散。外窗室内外表面的风压差达到0.5Pa 有利于建筑的自然通风。</w:t>
            </w:r>
          </w:p>
          <w:p w14:paraId="2760586C" w14:textId="7B987F6D"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室外风环境模拟应得到以下输出结果： </w:t>
            </w:r>
          </w:p>
          <w:p w14:paraId="362CF5FC" w14:textId="77777777"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1 不同季节不同来流风速下，模拟得到场地内 1. 5m 高处的风速分布。 </w:t>
            </w:r>
          </w:p>
          <w:p w14:paraId="75E59AB6" w14:textId="77777777"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2 不同季节不同来流风速下，模拟得到冬季室外活动区的风速放大系数。 </w:t>
            </w:r>
          </w:p>
          <w:p w14:paraId="097CF78F" w14:textId="046D33FA"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3 不同季节不同来流风速下．模拟得到建筑首层及以上典型楼层迎风面与背风面</w:t>
            </w:r>
            <w:r w:rsidRPr="00356770">
              <w:rPr>
                <w:rFonts w:asciiTheme="majorEastAsia" w:eastAsiaTheme="majorEastAsia" w:hAnsiTheme="majorEastAsia" w:cstheme="majorEastAsia"/>
                <w:color w:val="0D0D0D" w:themeColor="text1" w:themeTint="F2"/>
                <w:szCs w:val="21"/>
              </w:rPr>
              <w:lastRenderedPageBreak/>
              <w:t>（或</w:t>
            </w:r>
            <w:proofErr w:type="gramStart"/>
            <w:r w:rsidRPr="00356770">
              <w:rPr>
                <w:rFonts w:asciiTheme="majorEastAsia" w:eastAsiaTheme="majorEastAsia" w:hAnsiTheme="majorEastAsia" w:cstheme="majorEastAsia"/>
                <w:color w:val="0D0D0D" w:themeColor="text1" w:themeTint="F2"/>
                <w:szCs w:val="21"/>
              </w:rPr>
              <w:t>主耍</w:t>
            </w:r>
            <w:proofErr w:type="gramEnd"/>
            <w:r w:rsidRPr="00356770">
              <w:rPr>
                <w:rFonts w:asciiTheme="majorEastAsia" w:eastAsiaTheme="majorEastAsia" w:hAnsiTheme="majorEastAsia" w:cstheme="majorEastAsia"/>
                <w:color w:val="0D0D0D" w:themeColor="text1" w:themeTint="F2"/>
                <w:szCs w:val="21"/>
              </w:rPr>
              <w:t>开窗面）表面的压力分布。</w:t>
            </w:r>
          </w:p>
        </w:tc>
        <w:tc>
          <w:tcPr>
            <w:tcW w:w="1009" w:type="pct"/>
            <w:gridSpan w:val="3"/>
            <w:vAlign w:val="center"/>
          </w:tcPr>
          <w:p w14:paraId="1A31E8B7" w14:textId="6C6FBB09" w:rsidR="002C1843" w:rsidRPr="00356770" w:rsidRDefault="002C1843" w:rsidP="002C1843">
            <w:pPr>
              <w:jc w:val="cente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查阅相关设计文件、风环境分析报告等；评价查阅相关竣工文件、风环境分析报告。</w:t>
            </w:r>
          </w:p>
        </w:tc>
        <w:tc>
          <w:tcPr>
            <w:tcW w:w="584" w:type="pct"/>
            <w:vAlign w:val="center"/>
          </w:tcPr>
          <w:p w14:paraId="07B97E10" w14:textId="27F77E88" w:rsidR="002C1843" w:rsidRPr="00356770" w:rsidRDefault="00D86C96"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0</w:t>
            </w:r>
          </w:p>
        </w:tc>
      </w:tr>
      <w:tr w:rsidR="00356770" w:rsidRPr="00356770" w14:paraId="655F4C7E" w14:textId="15673179" w:rsidTr="002C1843">
        <w:trPr>
          <w:trHeight w:val="274"/>
        </w:trPr>
        <w:tc>
          <w:tcPr>
            <w:tcW w:w="240" w:type="pct"/>
            <w:vMerge/>
            <w:vAlign w:val="center"/>
          </w:tcPr>
          <w:p w14:paraId="69F2D382"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23A90788" w14:textId="00F33380"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8</w:t>
            </w:r>
            <w:r w:rsidRPr="00356770">
              <w:rPr>
                <w:rFonts w:asciiTheme="majorEastAsia" w:eastAsiaTheme="majorEastAsia" w:hAnsiTheme="majorEastAsia" w:cstheme="majorEastAsia"/>
                <w:color w:val="0D0D0D" w:themeColor="text1" w:themeTint="F2"/>
                <w:szCs w:val="21"/>
              </w:rPr>
              <w:t xml:space="preserve">.2.9 </w:t>
            </w:r>
          </w:p>
        </w:tc>
        <w:tc>
          <w:tcPr>
            <w:tcW w:w="1273" w:type="pct"/>
            <w:gridSpan w:val="2"/>
            <w:vAlign w:val="center"/>
          </w:tcPr>
          <w:p w14:paraId="4A441AAA" w14:textId="4F4A2D25" w:rsidR="002C1843" w:rsidRPr="00356770" w:rsidRDefault="002C1843" w:rsidP="002C1843">
            <w:pPr>
              <w:ind w:firstLineChars="200" w:firstLine="420"/>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采取措施降低热岛强度，</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为10分，按下列规则分别评分并累计：</w:t>
            </w:r>
          </w:p>
          <w:p w14:paraId="31BFC9F2"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场地中处于建筑阴影区外的步道、游憩场、庭院、广场等室外活动场地设有乔木、花架等遮阴措施的面积比例，住宅建筑达到30％，公共建筑达到10％，得2分；住宅建筑达到50％，公共建筑达到20％，得3分；</w:t>
            </w:r>
          </w:p>
          <w:p w14:paraId="25B308C1" w14:textId="77777777"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场地中处于建筑阴影区外的机动车道，路面太阳辐射反射系数不小于0.4或设有遮阴面</w:t>
            </w:r>
            <w:proofErr w:type="gramStart"/>
            <w:r w:rsidRPr="00356770">
              <w:rPr>
                <w:rFonts w:asciiTheme="majorEastAsia" w:eastAsiaTheme="majorEastAsia" w:hAnsiTheme="majorEastAsia" w:cstheme="majorEastAsia" w:hint="eastAsia"/>
                <w:color w:val="0D0D0D" w:themeColor="text1" w:themeTint="F2"/>
                <w:szCs w:val="21"/>
              </w:rPr>
              <w:t>积较大</w:t>
            </w:r>
            <w:proofErr w:type="gramEnd"/>
            <w:r w:rsidRPr="00356770">
              <w:rPr>
                <w:rFonts w:asciiTheme="majorEastAsia" w:eastAsiaTheme="majorEastAsia" w:hAnsiTheme="majorEastAsia" w:cstheme="majorEastAsia" w:hint="eastAsia"/>
                <w:color w:val="0D0D0D" w:themeColor="text1" w:themeTint="F2"/>
                <w:szCs w:val="21"/>
              </w:rPr>
              <w:t>的行道树的</w:t>
            </w:r>
            <w:r w:rsidRPr="00356770">
              <w:rPr>
                <w:rFonts w:asciiTheme="majorEastAsia" w:eastAsiaTheme="majorEastAsia" w:hAnsiTheme="majorEastAsia" w:cstheme="majorEastAsia" w:hint="eastAsia"/>
                <w:color w:val="0D0D0D" w:themeColor="text1" w:themeTint="F2"/>
                <w:szCs w:val="21"/>
              </w:rPr>
              <w:lastRenderedPageBreak/>
              <w:t>路段长度超过70％，得3分；</w:t>
            </w:r>
          </w:p>
          <w:p w14:paraId="5EBA0E67" w14:textId="6BB2C77F"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屋顶的绿化面积、太阳能板水平投影面积以及太阳辐射反射系数不小于0.4的屋面面积合计达到75％，得4分。</w:t>
            </w:r>
          </w:p>
        </w:tc>
        <w:tc>
          <w:tcPr>
            <w:tcW w:w="1335" w:type="pct"/>
            <w:gridSpan w:val="3"/>
            <w:vAlign w:val="center"/>
          </w:tcPr>
          <w:p w14:paraId="69B0CB59" w14:textId="77777777" w:rsidR="002C1843" w:rsidRPr="00356770" w:rsidRDefault="002C1843" w:rsidP="002C1843">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第1</w:t>
            </w:r>
            <w:r w:rsidRPr="00356770">
              <w:rPr>
                <w:rFonts w:asciiTheme="majorEastAsia" w:eastAsiaTheme="majorEastAsia" w:hAnsiTheme="majorEastAsia" w:cstheme="majorEastAsia"/>
                <w:color w:val="0D0D0D" w:themeColor="text1" w:themeTint="F2"/>
                <w:szCs w:val="21"/>
              </w:rPr>
              <w:t>款中的室外活动场地包括：步道、庭院、广场、</w:t>
            </w:r>
            <w:proofErr w:type="gramStart"/>
            <w:r w:rsidRPr="00356770">
              <w:rPr>
                <w:rFonts w:asciiTheme="majorEastAsia" w:eastAsiaTheme="majorEastAsia" w:hAnsiTheme="majorEastAsia" w:cstheme="majorEastAsia"/>
                <w:color w:val="0D0D0D" w:themeColor="text1" w:themeTint="F2"/>
                <w:szCs w:val="21"/>
              </w:rPr>
              <w:t>游憩场</w:t>
            </w:r>
            <w:proofErr w:type="gramEnd"/>
            <w:r w:rsidRPr="00356770">
              <w:rPr>
                <w:rFonts w:asciiTheme="majorEastAsia" w:eastAsiaTheme="majorEastAsia" w:hAnsiTheme="majorEastAsia" w:cstheme="majorEastAsia"/>
                <w:color w:val="0D0D0D" w:themeColor="text1" w:themeTint="F2"/>
                <w:szCs w:val="21"/>
              </w:rPr>
              <w:t xml:space="preserve"> 和非机动车停车场。不包括机动车道和机动车停车场，本款仅对建筑阴影区的户外活动场地提出要求，建筑阴影区为夏至日8:00~16:00 时段在 4h 日照等时线内的区域。乔木遮阴面</w:t>
            </w:r>
            <w:proofErr w:type="gramStart"/>
            <w:r w:rsidRPr="00356770">
              <w:rPr>
                <w:rFonts w:asciiTheme="majorEastAsia" w:eastAsiaTheme="majorEastAsia" w:hAnsiTheme="majorEastAsia" w:cstheme="majorEastAsia"/>
                <w:color w:val="0D0D0D" w:themeColor="text1" w:themeTint="F2"/>
                <w:szCs w:val="21"/>
              </w:rPr>
              <w:t>积按照</w:t>
            </w:r>
            <w:proofErr w:type="gramEnd"/>
            <w:r w:rsidRPr="00356770">
              <w:rPr>
                <w:rFonts w:asciiTheme="majorEastAsia" w:eastAsiaTheme="majorEastAsia" w:hAnsiTheme="majorEastAsia" w:cstheme="majorEastAsia"/>
                <w:color w:val="0D0D0D" w:themeColor="text1" w:themeTint="F2"/>
                <w:szCs w:val="21"/>
              </w:rPr>
              <w:t>成年乔木的树冠正投影面积计算；构筑物遮阴面</w:t>
            </w:r>
            <w:proofErr w:type="gramStart"/>
            <w:r w:rsidRPr="00356770">
              <w:rPr>
                <w:rFonts w:asciiTheme="majorEastAsia" w:eastAsiaTheme="majorEastAsia" w:hAnsiTheme="majorEastAsia" w:cstheme="majorEastAsia"/>
                <w:color w:val="0D0D0D" w:themeColor="text1" w:themeTint="F2"/>
                <w:szCs w:val="21"/>
              </w:rPr>
              <w:t>积按照</w:t>
            </w:r>
            <w:proofErr w:type="gramEnd"/>
            <w:r w:rsidRPr="00356770">
              <w:rPr>
                <w:rFonts w:asciiTheme="majorEastAsia" w:eastAsiaTheme="majorEastAsia" w:hAnsiTheme="majorEastAsia" w:cstheme="majorEastAsia"/>
                <w:color w:val="0D0D0D" w:themeColor="text1" w:themeTint="F2"/>
                <w:szCs w:val="21"/>
              </w:rPr>
              <w:t xml:space="preserve">构筑物正投影面积计算。 </w:t>
            </w:r>
          </w:p>
          <w:p w14:paraId="22C76614" w14:textId="3E75FB03" w:rsidR="002C1843" w:rsidRPr="00356770" w:rsidRDefault="002C1843"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款中屋面可采用高反射率涂料等面层，本款计算绿化屋面面积、设有太阳能集热板或光</w:t>
            </w:r>
            <w:r w:rsidRPr="00356770">
              <w:rPr>
                <w:rFonts w:asciiTheme="majorEastAsia" w:eastAsiaTheme="majorEastAsia" w:hAnsiTheme="majorEastAsia" w:cstheme="majorEastAsia"/>
                <w:color w:val="0D0D0D" w:themeColor="text1" w:themeTint="F2"/>
                <w:szCs w:val="21"/>
              </w:rPr>
              <w:lastRenderedPageBreak/>
              <w:t>电板的水平投影面积、反射率高的屋面面积之</w:t>
            </w:r>
            <w:proofErr w:type="gramStart"/>
            <w:r w:rsidRPr="00356770">
              <w:rPr>
                <w:rFonts w:asciiTheme="majorEastAsia" w:eastAsiaTheme="majorEastAsia" w:hAnsiTheme="majorEastAsia" w:cstheme="majorEastAsia"/>
                <w:color w:val="0D0D0D" w:themeColor="text1" w:themeTint="F2"/>
                <w:szCs w:val="21"/>
              </w:rPr>
              <w:t>和</w:t>
            </w:r>
            <w:proofErr w:type="gramEnd"/>
            <w:r w:rsidRPr="00356770">
              <w:rPr>
                <w:rFonts w:asciiTheme="majorEastAsia" w:eastAsiaTheme="majorEastAsia" w:hAnsiTheme="majorEastAsia" w:cstheme="majorEastAsia"/>
                <w:color w:val="0D0D0D" w:themeColor="text1" w:themeTint="F2"/>
                <w:szCs w:val="21"/>
              </w:rPr>
              <w:t>。</w:t>
            </w:r>
          </w:p>
        </w:tc>
        <w:tc>
          <w:tcPr>
            <w:tcW w:w="944" w:type="pct"/>
            <w:vAlign w:val="center"/>
          </w:tcPr>
          <w:p w14:paraId="56A3CCE1" w14:textId="4F2B6839" w:rsidR="002C1843" w:rsidRPr="00356770" w:rsidRDefault="002C1843" w:rsidP="002C1843">
            <w:pPr>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查阅相关设计文件、日照分析报告、计算书；评价查阅相关竣工图、日照分析报告、计算书、材料性能检测报告。</w:t>
            </w:r>
          </w:p>
        </w:tc>
        <w:tc>
          <w:tcPr>
            <w:tcW w:w="602" w:type="pct"/>
            <w:gridSpan w:val="2"/>
            <w:vAlign w:val="center"/>
          </w:tcPr>
          <w:p w14:paraId="2692B610" w14:textId="25EE6892" w:rsidR="002C1843" w:rsidRPr="00356770" w:rsidRDefault="00D86C96" w:rsidP="002C1843">
            <w:pP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0+4</w:t>
            </w:r>
          </w:p>
        </w:tc>
      </w:tr>
      <w:tr w:rsidR="002C1843" w:rsidRPr="00356770" w14:paraId="3158E175" w14:textId="77777777" w:rsidTr="002C1843">
        <w:trPr>
          <w:trHeight w:val="274"/>
        </w:trPr>
        <w:tc>
          <w:tcPr>
            <w:tcW w:w="240" w:type="pct"/>
            <w:vAlign w:val="center"/>
          </w:tcPr>
          <w:p w14:paraId="58B5A95E" w14:textId="77777777" w:rsidR="002C1843" w:rsidRPr="00356770" w:rsidRDefault="002C1843" w:rsidP="002C1843">
            <w:pPr>
              <w:jc w:val="center"/>
              <w:rPr>
                <w:rFonts w:asciiTheme="majorEastAsia" w:eastAsiaTheme="majorEastAsia" w:hAnsiTheme="majorEastAsia" w:cstheme="majorEastAsia"/>
                <w:color w:val="0D0D0D" w:themeColor="text1" w:themeTint="F2"/>
                <w:szCs w:val="21"/>
              </w:rPr>
            </w:pPr>
          </w:p>
        </w:tc>
        <w:tc>
          <w:tcPr>
            <w:tcW w:w="606" w:type="pct"/>
            <w:vAlign w:val="center"/>
          </w:tcPr>
          <w:p w14:paraId="4C2F4DB8" w14:textId="436FBDC6"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4154" w:type="pct"/>
            <w:gridSpan w:val="8"/>
            <w:vAlign w:val="center"/>
          </w:tcPr>
          <w:p w14:paraId="4DC56C20" w14:textId="46F240A0" w:rsidR="002C1843" w:rsidRPr="00356770" w:rsidRDefault="002C1843" w:rsidP="002C1843">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环境</w:t>
            </w:r>
            <w:proofErr w:type="gramStart"/>
            <w:r w:rsidRPr="00356770">
              <w:rPr>
                <w:rFonts w:asciiTheme="majorEastAsia" w:eastAsiaTheme="majorEastAsia" w:hAnsiTheme="majorEastAsia" w:cstheme="majorEastAsia" w:hint="eastAsia"/>
                <w:color w:val="0D0D0D" w:themeColor="text1" w:themeTint="F2"/>
                <w:szCs w:val="21"/>
              </w:rPr>
              <w:t>宜居项总分</w:t>
            </w:r>
            <w:proofErr w:type="gramEnd"/>
            <w:r w:rsidRPr="00356770">
              <w:rPr>
                <w:rFonts w:asciiTheme="majorEastAsia" w:eastAsiaTheme="majorEastAsia" w:hAnsiTheme="majorEastAsia" w:cstheme="majorEastAsia" w:hint="eastAsia"/>
                <w:color w:val="0D0D0D" w:themeColor="text1" w:themeTint="F2"/>
                <w:szCs w:val="21"/>
              </w:rPr>
              <w:t>：</w:t>
            </w:r>
            <w:r w:rsidR="00D86C96" w:rsidRPr="00356770">
              <w:rPr>
                <w:rFonts w:asciiTheme="majorEastAsia" w:eastAsiaTheme="majorEastAsia" w:hAnsiTheme="majorEastAsia" w:cstheme="majorEastAsia" w:hint="eastAsia"/>
                <w:color w:val="0D0D0D" w:themeColor="text1" w:themeTint="F2"/>
                <w:szCs w:val="21"/>
              </w:rPr>
              <w:t>5</w:t>
            </w:r>
            <w:r w:rsidR="00D86C96" w:rsidRPr="00356770">
              <w:rPr>
                <w:rFonts w:asciiTheme="majorEastAsia" w:eastAsiaTheme="majorEastAsia" w:hAnsiTheme="majorEastAsia" w:cstheme="majorEastAsia"/>
                <w:color w:val="0D0D0D" w:themeColor="text1" w:themeTint="F2"/>
                <w:szCs w:val="21"/>
              </w:rPr>
              <w:t>0</w:t>
            </w:r>
          </w:p>
        </w:tc>
      </w:tr>
    </w:tbl>
    <w:p w14:paraId="14065EF5"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p w14:paraId="5375A708"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表A-</w:t>
      </w:r>
      <w:r w:rsidRPr="00356770">
        <w:rPr>
          <w:rFonts w:asciiTheme="majorEastAsia" w:eastAsiaTheme="majorEastAsia" w:hAnsiTheme="majorEastAsia" w:cstheme="majorEastAsia" w:hint="eastAsia"/>
          <w:b/>
          <w:bCs/>
          <w:color w:val="0D0D0D" w:themeColor="text1" w:themeTint="F2"/>
          <w:szCs w:val="21"/>
        </w:rPr>
        <w:t>6</w:t>
      </w:r>
      <w:r w:rsidRPr="00356770">
        <w:rPr>
          <w:rFonts w:asciiTheme="majorEastAsia" w:eastAsiaTheme="majorEastAsia" w:hAnsiTheme="majorEastAsia" w:cstheme="majorEastAsia"/>
          <w:b/>
          <w:bCs/>
          <w:color w:val="0D0D0D" w:themeColor="text1" w:themeTint="F2"/>
          <w:szCs w:val="21"/>
        </w:rPr>
        <w:t xml:space="preserve"> </w:t>
      </w:r>
      <w:r w:rsidRPr="00356770">
        <w:rPr>
          <w:rFonts w:asciiTheme="majorEastAsia" w:eastAsiaTheme="majorEastAsia" w:hAnsiTheme="majorEastAsia" w:cstheme="majorEastAsia" w:hint="eastAsia"/>
          <w:b/>
          <w:bCs/>
          <w:color w:val="0D0D0D" w:themeColor="text1" w:themeTint="F2"/>
          <w:szCs w:val="21"/>
        </w:rPr>
        <w:t>提高与创新</w:t>
      </w:r>
    </w:p>
    <w:tbl>
      <w:tblPr>
        <w:tblStyle w:val="a3"/>
        <w:tblW w:w="4996" w:type="pct"/>
        <w:tblLook w:val="04A0" w:firstRow="1" w:lastRow="0" w:firstColumn="1" w:lastColumn="0" w:noHBand="0" w:noVBand="1"/>
      </w:tblPr>
      <w:tblGrid>
        <w:gridCol w:w="1096"/>
        <w:gridCol w:w="1452"/>
        <w:gridCol w:w="2434"/>
        <w:gridCol w:w="2859"/>
        <w:gridCol w:w="1168"/>
      </w:tblGrid>
      <w:tr w:rsidR="00356770" w:rsidRPr="00356770" w14:paraId="0623B5B8" w14:textId="77777777" w:rsidTr="00294D2D">
        <w:tc>
          <w:tcPr>
            <w:tcW w:w="1414" w:type="pct"/>
            <w:gridSpan w:val="2"/>
          </w:tcPr>
          <w:p w14:paraId="6395C96D"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标准条文</w:t>
            </w:r>
          </w:p>
        </w:tc>
        <w:tc>
          <w:tcPr>
            <w:tcW w:w="1351" w:type="pct"/>
          </w:tcPr>
          <w:p w14:paraId="045D4D8B"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评价内容</w:t>
            </w:r>
          </w:p>
        </w:tc>
        <w:tc>
          <w:tcPr>
            <w:tcW w:w="1587" w:type="pct"/>
          </w:tcPr>
          <w:p w14:paraId="0A74730A"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评价方法</w:t>
            </w:r>
          </w:p>
        </w:tc>
        <w:tc>
          <w:tcPr>
            <w:tcW w:w="648" w:type="pct"/>
          </w:tcPr>
          <w:p w14:paraId="306DFA2F"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评价结果</w:t>
            </w:r>
          </w:p>
        </w:tc>
      </w:tr>
      <w:tr w:rsidR="00356770" w:rsidRPr="00356770" w14:paraId="183402A1" w14:textId="77777777" w:rsidTr="00294D2D">
        <w:tc>
          <w:tcPr>
            <w:tcW w:w="608" w:type="pct"/>
          </w:tcPr>
          <w:p w14:paraId="22FF02C0"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w:t>
            </w:r>
          </w:p>
        </w:tc>
        <w:tc>
          <w:tcPr>
            <w:tcW w:w="805" w:type="pct"/>
          </w:tcPr>
          <w:p w14:paraId="2C194E5A"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条文内容</w:t>
            </w:r>
          </w:p>
        </w:tc>
        <w:tc>
          <w:tcPr>
            <w:tcW w:w="1351" w:type="pct"/>
          </w:tcPr>
          <w:p w14:paraId="61DF9AED"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tc>
        <w:tc>
          <w:tcPr>
            <w:tcW w:w="1587" w:type="pct"/>
          </w:tcPr>
          <w:p w14:paraId="5A4753D5" w14:textId="77777777" w:rsidR="000009FC" w:rsidRPr="00356770" w:rsidRDefault="000009FC">
            <w:pPr>
              <w:jc w:val="center"/>
              <w:rPr>
                <w:rFonts w:asciiTheme="majorEastAsia" w:eastAsiaTheme="majorEastAsia" w:hAnsiTheme="majorEastAsia" w:cstheme="majorEastAsia"/>
                <w:color w:val="0D0D0D" w:themeColor="text1" w:themeTint="F2"/>
                <w:szCs w:val="21"/>
              </w:rPr>
            </w:pPr>
          </w:p>
        </w:tc>
        <w:tc>
          <w:tcPr>
            <w:tcW w:w="648" w:type="pct"/>
          </w:tcPr>
          <w:p w14:paraId="7D67F522" w14:textId="77777777" w:rsidR="000009FC" w:rsidRPr="00356770" w:rsidRDefault="00943DD9">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 w:val="13"/>
                <w:szCs w:val="13"/>
              </w:rPr>
              <w:t>（得分）</w:t>
            </w:r>
          </w:p>
        </w:tc>
      </w:tr>
      <w:tr w:rsidR="00356770" w:rsidRPr="00356770" w14:paraId="760B7AC1" w14:textId="77777777" w:rsidTr="00294D2D">
        <w:tc>
          <w:tcPr>
            <w:tcW w:w="608" w:type="pct"/>
          </w:tcPr>
          <w:p w14:paraId="1E5595E9" w14:textId="7D63A366"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.1</w:t>
            </w:r>
          </w:p>
        </w:tc>
        <w:tc>
          <w:tcPr>
            <w:tcW w:w="805" w:type="pct"/>
            <w:vAlign w:val="center"/>
          </w:tcPr>
          <w:p w14:paraId="5464C0B1" w14:textId="70D0538B"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采取措施进一步降低建筑供暖空调系统的能耗，</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为30分。建筑供暖空调系统能耗相比国家现行有关建筑节能标准降低40％，得10分；</w:t>
            </w:r>
            <w:proofErr w:type="gramStart"/>
            <w:r w:rsidRPr="00356770">
              <w:rPr>
                <w:rFonts w:asciiTheme="majorEastAsia" w:eastAsiaTheme="majorEastAsia" w:hAnsiTheme="majorEastAsia" w:cstheme="majorEastAsia" w:hint="eastAsia"/>
                <w:color w:val="0D0D0D" w:themeColor="text1" w:themeTint="F2"/>
                <w:szCs w:val="21"/>
              </w:rPr>
              <w:t>每再降低</w:t>
            </w:r>
            <w:proofErr w:type="gramEnd"/>
            <w:r w:rsidRPr="00356770">
              <w:rPr>
                <w:rFonts w:asciiTheme="majorEastAsia" w:eastAsiaTheme="majorEastAsia" w:hAnsiTheme="majorEastAsia" w:cstheme="majorEastAsia" w:hint="eastAsia"/>
                <w:color w:val="0D0D0D" w:themeColor="text1" w:themeTint="F2"/>
                <w:szCs w:val="21"/>
              </w:rPr>
              <w:t>10％，再得5分，最高得30分。</w:t>
            </w:r>
          </w:p>
        </w:tc>
        <w:tc>
          <w:tcPr>
            <w:tcW w:w="1351" w:type="pct"/>
            <w:vAlign w:val="center"/>
          </w:tcPr>
          <w:p w14:paraId="02E64AB5" w14:textId="77777777" w:rsidR="00294D2D" w:rsidRPr="00356770" w:rsidRDefault="00294D2D" w:rsidP="00294D2D">
            <w:pPr>
              <w:ind w:firstLineChars="200" w:firstLine="42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应根据行业标准《民用建筑绿色性能计算标准》 JGJ/T 449-2018 5.3节的相关规定，分别计算设计建筑及满足国家现行建筑节能设计标准规定的参照建筑的供暖空 周能耗，计算其节能 </w:t>
            </w:r>
          </w:p>
          <w:p w14:paraId="38413738" w14:textId="57CCAB0A"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率并进行得分判定。建筑供暖空调系统能耗相比国家现行有关建筑节能标准降低 40%,</w:t>
            </w:r>
            <w:r w:rsidRPr="00356770">
              <w:rPr>
                <w:rFonts w:asciiTheme="majorEastAsia" w:eastAsiaTheme="majorEastAsia" w:hAnsiTheme="majorEastAsia" w:cstheme="majorEastAsia" w:hint="eastAsia"/>
                <w:color w:val="0D0D0D" w:themeColor="text1" w:themeTint="F2"/>
                <w:szCs w:val="21"/>
              </w:rPr>
              <w:t>得</w:t>
            </w:r>
            <w:r w:rsidRPr="00356770">
              <w:rPr>
                <w:rFonts w:asciiTheme="majorEastAsia" w:eastAsiaTheme="majorEastAsia" w:hAnsiTheme="majorEastAsia" w:cstheme="majorEastAsia"/>
                <w:color w:val="0D0D0D" w:themeColor="text1" w:themeTint="F2"/>
                <w:szCs w:val="21"/>
              </w:rPr>
              <w:t>10分；在此基础上，</w:t>
            </w:r>
            <w:proofErr w:type="gramStart"/>
            <w:r w:rsidRPr="00356770">
              <w:rPr>
                <w:rFonts w:asciiTheme="majorEastAsia" w:eastAsiaTheme="majorEastAsia" w:hAnsiTheme="majorEastAsia" w:cstheme="majorEastAsia"/>
                <w:color w:val="0D0D0D" w:themeColor="text1" w:themeTint="F2"/>
                <w:szCs w:val="21"/>
              </w:rPr>
              <w:t>每再降低</w:t>
            </w:r>
            <w:proofErr w:type="gramEnd"/>
            <w:r w:rsidRPr="00356770">
              <w:rPr>
                <w:rFonts w:asciiTheme="majorEastAsia" w:eastAsiaTheme="majorEastAsia" w:hAnsiTheme="majorEastAsia" w:cstheme="majorEastAsia"/>
                <w:color w:val="0D0D0D" w:themeColor="text1" w:themeTint="F2"/>
                <w:szCs w:val="21"/>
              </w:rPr>
              <w:t>10%,再多得 5分，本条最高得分不超过 30 分。</w:t>
            </w:r>
          </w:p>
        </w:tc>
        <w:tc>
          <w:tcPr>
            <w:tcW w:w="1587" w:type="pct"/>
            <w:vAlign w:val="center"/>
          </w:tcPr>
          <w:p w14:paraId="38F02EEB" w14:textId="6BFF603A"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 xml:space="preserve"> </w:t>
            </w: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查阅相关设计文件（围护结构施工详图、相关设计说明）、节能计算书、建筑综合能耗节能率分析报告；评价查阅相关竣工图（围护结构施工详图、相关设计说明）、节能计算书、建筑综合能耗节能率分析报告。</w:t>
            </w:r>
          </w:p>
        </w:tc>
        <w:tc>
          <w:tcPr>
            <w:tcW w:w="648" w:type="pct"/>
          </w:tcPr>
          <w:p w14:paraId="7144C376" w14:textId="56A6049A"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7C9F400C" w14:textId="77777777" w:rsidTr="00294D2D">
        <w:tc>
          <w:tcPr>
            <w:tcW w:w="608" w:type="pct"/>
          </w:tcPr>
          <w:p w14:paraId="317125BE" w14:textId="486BC2CA"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.2</w:t>
            </w:r>
          </w:p>
        </w:tc>
        <w:tc>
          <w:tcPr>
            <w:tcW w:w="805" w:type="pct"/>
            <w:vAlign w:val="center"/>
          </w:tcPr>
          <w:p w14:paraId="5CC1A597" w14:textId="4799EC9B"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 xml:space="preserve"> 采用适宜地区特色的建筑风貌设计，因地制宜传承地域建筑文化，评价分值为20分。</w:t>
            </w:r>
          </w:p>
        </w:tc>
        <w:tc>
          <w:tcPr>
            <w:tcW w:w="1351" w:type="pct"/>
            <w:vAlign w:val="center"/>
          </w:tcPr>
          <w:p w14:paraId="0BFA7B35" w14:textId="0155127E"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 xml:space="preserve">  对场地内的历史建筑进行保护和利用，也属于本条规定的传承地域建筑文化的范畴。历史建筑主要指能够反映历史风貌、地方特色、具有较高文化价值的传统建筑，未公布为文物保护单位或文物保护点的建筑物、构筑物。应采用适度的保护利用措施，避免对历史建筑价值和特征要素的损伤和改变。</w:t>
            </w:r>
          </w:p>
        </w:tc>
        <w:tc>
          <w:tcPr>
            <w:tcW w:w="1587" w:type="pct"/>
            <w:vAlign w:val="center"/>
          </w:tcPr>
          <w:p w14:paraId="23556291" w14:textId="313D931E"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查阅相关设计文件；评价查阅相关竣工图。</w:t>
            </w:r>
          </w:p>
        </w:tc>
        <w:tc>
          <w:tcPr>
            <w:tcW w:w="648" w:type="pct"/>
          </w:tcPr>
          <w:p w14:paraId="1DB32500" w14:textId="3A0B76EA"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0FBD7942" w14:textId="77777777" w:rsidTr="00294D2D">
        <w:tc>
          <w:tcPr>
            <w:tcW w:w="608" w:type="pct"/>
          </w:tcPr>
          <w:p w14:paraId="719F1FBB" w14:textId="66633B16"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3</w:t>
            </w:r>
          </w:p>
        </w:tc>
        <w:tc>
          <w:tcPr>
            <w:tcW w:w="805" w:type="pct"/>
            <w:vAlign w:val="center"/>
          </w:tcPr>
          <w:p w14:paraId="00912C38" w14:textId="0A97A629"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合理选用废弃场地进</w:t>
            </w:r>
            <w:r w:rsidRPr="00356770">
              <w:rPr>
                <w:rFonts w:asciiTheme="majorEastAsia" w:eastAsiaTheme="majorEastAsia" w:hAnsiTheme="majorEastAsia" w:cstheme="majorEastAsia" w:hint="eastAsia"/>
                <w:color w:val="0D0D0D" w:themeColor="text1" w:themeTint="F2"/>
                <w:szCs w:val="21"/>
              </w:rPr>
              <w:lastRenderedPageBreak/>
              <w:t>行建设，或充分利用尚可使用的旧建筑，评价分值为8分。</w:t>
            </w:r>
          </w:p>
        </w:tc>
        <w:tc>
          <w:tcPr>
            <w:tcW w:w="1351" w:type="pct"/>
            <w:vAlign w:val="center"/>
          </w:tcPr>
          <w:p w14:paraId="4D93DC48"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本条所指的“尚可使用的旧建筑”系指建筑质</w:t>
            </w:r>
            <w:r w:rsidRPr="00356770">
              <w:rPr>
                <w:rFonts w:asciiTheme="majorEastAsia" w:eastAsiaTheme="majorEastAsia" w:hAnsiTheme="majorEastAsia" w:cstheme="majorEastAsia"/>
                <w:color w:val="0D0D0D" w:themeColor="text1" w:themeTint="F2"/>
                <w:szCs w:val="21"/>
              </w:rPr>
              <w:lastRenderedPageBreak/>
              <w:t>量能保证使用安全的旧建筑，或通过少量改造加固后能保证使用安全的旧建筑。虽然目前多数项目为新建，且多为净地交付，项目</w:t>
            </w:r>
            <w:proofErr w:type="gramStart"/>
            <w:r w:rsidRPr="00356770">
              <w:rPr>
                <w:rFonts w:asciiTheme="majorEastAsia" w:eastAsiaTheme="majorEastAsia" w:hAnsiTheme="majorEastAsia" w:cstheme="majorEastAsia"/>
                <w:color w:val="0D0D0D" w:themeColor="text1" w:themeTint="F2"/>
                <w:szCs w:val="21"/>
              </w:rPr>
              <w:t>方很难</w:t>
            </w:r>
            <w:proofErr w:type="gramEnd"/>
            <w:r w:rsidRPr="00356770">
              <w:rPr>
                <w:rFonts w:asciiTheme="majorEastAsia" w:eastAsiaTheme="majorEastAsia" w:hAnsiTheme="majorEastAsia" w:cstheme="majorEastAsia"/>
                <w:color w:val="0D0D0D" w:themeColor="text1" w:themeTint="F2"/>
                <w:szCs w:val="21"/>
              </w:rPr>
              <w:t xml:space="preserve">有 </w:t>
            </w:r>
          </w:p>
          <w:p w14:paraId="3C769EFB"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权选择</w:t>
            </w:r>
            <w:proofErr w:type="gramEnd"/>
            <w:r w:rsidRPr="00356770">
              <w:rPr>
                <w:rFonts w:asciiTheme="majorEastAsia" w:eastAsiaTheme="majorEastAsia" w:hAnsiTheme="majorEastAsia" w:cstheme="majorEastAsia"/>
                <w:color w:val="0D0D0D" w:themeColor="text1" w:themeTint="F2"/>
                <w:szCs w:val="21"/>
              </w:rPr>
              <w:t>利用旧建筑。但仍需对利用</w:t>
            </w:r>
            <w:proofErr w:type="gramStart"/>
            <w:r w:rsidRPr="00356770">
              <w:rPr>
                <w:rFonts w:asciiTheme="majorEastAsia" w:eastAsiaTheme="majorEastAsia" w:hAnsiTheme="majorEastAsia" w:cstheme="majorEastAsia"/>
                <w:color w:val="0D0D0D" w:themeColor="text1" w:themeTint="F2"/>
                <w:szCs w:val="21"/>
              </w:rPr>
              <w:t>“</w:t>
            </w:r>
            <w:proofErr w:type="gramEnd"/>
            <w:r w:rsidRPr="00356770">
              <w:rPr>
                <w:rFonts w:asciiTheme="majorEastAsia" w:eastAsiaTheme="majorEastAsia" w:hAnsiTheme="majorEastAsia" w:cstheme="majorEastAsia"/>
                <w:color w:val="0D0D0D" w:themeColor="text1" w:themeTint="F2"/>
                <w:szCs w:val="21"/>
              </w:rPr>
              <w:t xml:space="preserve">可使用的“旧建筑的行为予以鼓励，防止大拆大建。对于一些从技术经济分析角度不可行，但出于保护文物或体现风貌而留存的历史建筑，不在本条中 </w:t>
            </w:r>
          </w:p>
          <w:p w14:paraId="5C5A0761" w14:textId="2DBDE172"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得分。</w:t>
            </w:r>
          </w:p>
        </w:tc>
        <w:tc>
          <w:tcPr>
            <w:tcW w:w="1587" w:type="pct"/>
            <w:vAlign w:val="center"/>
          </w:tcPr>
          <w:p w14:paraId="04DA066F" w14:textId="687E9938"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查阅相关设计文件、环评报告、旧建筑使用专项</w:t>
            </w:r>
            <w:r w:rsidRPr="00356770">
              <w:rPr>
                <w:rFonts w:asciiTheme="majorEastAsia" w:eastAsiaTheme="majorEastAsia" w:hAnsiTheme="majorEastAsia" w:cstheme="majorEastAsia"/>
                <w:color w:val="0D0D0D" w:themeColor="text1" w:themeTint="F2"/>
                <w:szCs w:val="21"/>
              </w:rPr>
              <w:lastRenderedPageBreak/>
              <w:t>报告；评价查阅相关竣工图、环评报告、旧建筑使用专项报告、检测报告。</w:t>
            </w:r>
          </w:p>
        </w:tc>
        <w:tc>
          <w:tcPr>
            <w:tcW w:w="648" w:type="pct"/>
          </w:tcPr>
          <w:p w14:paraId="3B35885F" w14:textId="64DDC938"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0</w:t>
            </w:r>
          </w:p>
        </w:tc>
      </w:tr>
      <w:tr w:rsidR="00356770" w:rsidRPr="00356770" w14:paraId="0D04EFEB" w14:textId="77777777" w:rsidTr="00294D2D">
        <w:tc>
          <w:tcPr>
            <w:tcW w:w="608" w:type="pct"/>
          </w:tcPr>
          <w:p w14:paraId="53872509" w14:textId="043F3BAE"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4</w:t>
            </w:r>
          </w:p>
        </w:tc>
        <w:tc>
          <w:tcPr>
            <w:tcW w:w="805" w:type="pct"/>
            <w:vAlign w:val="center"/>
          </w:tcPr>
          <w:p w14:paraId="5BC8EC22" w14:textId="76CE33DB"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hint="eastAsia"/>
                <w:color w:val="0D0D0D" w:themeColor="text1" w:themeTint="F2"/>
                <w:szCs w:val="21"/>
              </w:rPr>
              <w:t>场地绿容率</w:t>
            </w:r>
            <w:proofErr w:type="gramEnd"/>
            <w:r w:rsidRPr="00356770">
              <w:rPr>
                <w:rFonts w:asciiTheme="majorEastAsia" w:eastAsiaTheme="majorEastAsia" w:hAnsiTheme="majorEastAsia" w:cstheme="majorEastAsia" w:hint="eastAsia"/>
                <w:color w:val="0D0D0D" w:themeColor="text1" w:themeTint="F2"/>
                <w:szCs w:val="21"/>
              </w:rPr>
              <w:t>不低于3.0，</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为5分，并按下列规则评分：</w:t>
            </w:r>
          </w:p>
          <w:p w14:paraId="4617B8AE"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1 </w:t>
            </w:r>
            <w:proofErr w:type="gramStart"/>
            <w:r w:rsidRPr="00356770">
              <w:rPr>
                <w:rFonts w:asciiTheme="majorEastAsia" w:eastAsiaTheme="majorEastAsia" w:hAnsiTheme="majorEastAsia" w:cstheme="majorEastAsia" w:hint="eastAsia"/>
                <w:color w:val="0D0D0D" w:themeColor="text1" w:themeTint="F2"/>
                <w:szCs w:val="21"/>
              </w:rPr>
              <w:t>场地绿容率</w:t>
            </w:r>
            <w:proofErr w:type="gramEnd"/>
            <w:r w:rsidRPr="00356770">
              <w:rPr>
                <w:rFonts w:asciiTheme="majorEastAsia" w:eastAsiaTheme="majorEastAsia" w:hAnsiTheme="majorEastAsia" w:cstheme="majorEastAsia" w:hint="eastAsia"/>
                <w:color w:val="0D0D0D" w:themeColor="text1" w:themeTint="F2"/>
                <w:szCs w:val="21"/>
              </w:rPr>
              <w:t>计算值不低于3.0，得3分。</w:t>
            </w:r>
          </w:p>
          <w:p w14:paraId="1714CD5F"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2 </w:t>
            </w:r>
            <w:proofErr w:type="gramStart"/>
            <w:r w:rsidRPr="00356770">
              <w:rPr>
                <w:rFonts w:asciiTheme="majorEastAsia" w:eastAsiaTheme="majorEastAsia" w:hAnsiTheme="majorEastAsia" w:cstheme="majorEastAsia" w:hint="eastAsia"/>
                <w:color w:val="0D0D0D" w:themeColor="text1" w:themeTint="F2"/>
                <w:szCs w:val="21"/>
              </w:rPr>
              <w:t>场地绿容率</w:t>
            </w:r>
            <w:proofErr w:type="gramEnd"/>
            <w:r w:rsidRPr="00356770">
              <w:rPr>
                <w:rFonts w:asciiTheme="majorEastAsia" w:eastAsiaTheme="majorEastAsia" w:hAnsiTheme="majorEastAsia" w:cstheme="majorEastAsia" w:hint="eastAsia"/>
                <w:color w:val="0D0D0D" w:themeColor="text1" w:themeTint="F2"/>
                <w:szCs w:val="21"/>
              </w:rPr>
              <w:t>实测值不低于3.0，得5分。</w:t>
            </w:r>
          </w:p>
          <w:p w14:paraId="02A4B665"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p>
        </w:tc>
        <w:tc>
          <w:tcPr>
            <w:tcW w:w="1351" w:type="pct"/>
            <w:vAlign w:val="center"/>
          </w:tcPr>
          <w:p w14:paraId="1417670B"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绿容率</w:t>
            </w:r>
            <w:proofErr w:type="gramEnd"/>
            <w:r w:rsidRPr="00356770">
              <w:rPr>
                <w:rFonts w:asciiTheme="majorEastAsia" w:eastAsiaTheme="majorEastAsia" w:hAnsiTheme="majorEastAsia" w:cstheme="majorEastAsia"/>
                <w:color w:val="0D0D0D" w:themeColor="text1" w:themeTint="F2"/>
                <w:szCs w:val="21"/>
              </w:rPr>
              <w:t>是指场地内各类植被叶面积总量与场地面积的比值。叶面积是生态学中研究植物群落、结构和功能的关键性指标，它与植物生物量、</w:t>
            </w:r>
            <w:proofErr w:type="gramStart"/>
            <w:r w:rsidRPr="00356770">
              <w:rPr>
                <w:rFonts w:asciiTheme="majorEastAsia" w:eastAsiaTheme="majorEastAsia" w:hAnsiTheme="majorEastAsia" w:cstheme="majorEastAsia"/>
                <w:color w:val="0D0D0D" w:themeColor="text1" w:themeTint="F2"/>
                <w:szCs w:val="21"/>
              </w:rPr>
              <w:t>固碳释氧</w:t>
            </w:r>
            <w:proofErr w:type="gramEnd"/>
            <w:r w:rsidRPr="00356770">
              <w:rPr>
                <w:rFonts w:asciiTheme="majorEastAsia" w:eastAsiaTheme="majorEastAsia" w:hAnsiTheme="majorEastAsia" w:cstheme="majorEastAsia"/>
                <w:color w:val="0D0D0D" w:themeColor="text1" w:themeTint="F2"/>
                <w:szCs w:val="21"/>
              </w:rPr>
              <w:t>、调节环境等功能关系密切，较高</w:t>
            </w:r>
            <w:proofErr w:type="gramStart"/>
            <w:r w:rsidRPr="00356770">
              <w:rPr>
                <w:rFonts w:asciiTheme="majorEastAsia" w:eastAsiaTheme="majorEastAsia" w:hAnsiTheme="majorEastAsia" w:cstheme="majorEastAsia"/>
                <w:color w:val="0D0D0D" w:themeColor="text1" w:themeTint="F2"/>
                <w:szCs w:val="21"/>
              </w:rPr>
              <w:t>的绿容率</w:t>
            </w:r>
            <w:proofErr w:type="gramEnd"/>
            <w:r w:rsidRPr="00356770">
              <w:rPr>
                <w:rFonts w:asciiTheme="majorEastAsia" w:eastAsiaTheme="majorEastAsia" w:hAnsiTheme="majorEastAsia" w:cstheme="majorEastAsia"/>
                <w:color w:val="0D0D0D" w:themeColor="text1" w:themeTint="F2"/>
                <w:szCs w:val="21"/>
              </w:rPr>
              <w:t>往往代表较好的生态效益。</w:t>
            </w:r>
          </w:p>
          <w:p w14:paraId="03F5F84B" w14:textId="60D8C6F1"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为了合理</w:t>
            </w:r>
            <w:proofErr w:type="gramStart"/>
            <w:r w:rsidRPr="00356770">
              <w:rPr>
                <w:rFonts w:asciiTheme="majorEastAsia" w:eastAsiaTheme="majorEastAsia" w:hAnsiTheme="majorEastAsia" w:cstheme="majorEastAsia"/>
                <w:color w:val="0D0D0D" w:themeColor="text1" w:themeTint="F2"/>
                <w:szCs w:val="21"/>
              </w:rPr>
              <w:t>提高绿容率</w:t>
            </w:r>
            <w:proofErr w:type="gramEnd"/>
            <w:r w:rsidRPr="00356770">
              <w:rPr>
                <w:rFonts w:asciiTheme="majorEastAsia" w:eastAsiaTheme="majorEastAsia" w:hAnsiTheme="majorEastAsia" w:cstheme="majorEastAsia"/>
                <w:color w:val="0D0D0D" w:themeColor="text1" w:themeTint="F2"/>
                <w:szCs w:val="21"/>
              </w:rPr>
              <w:t xml:space="preserve">，可优先保留场地原生树种和植被，合理配置叶面积指数较高的树种，提倡立体绿化，加强绿化养护，提高植被健康水平。绿化配置时避免影响低层用户的日照和采光。 </w:t>
            </w:r>
          </w:p>
        </w:tc>
        <w:tc>
          <w:tcPr>
            <w:tcW w:w="1587" w:type="pct"/>
            <w:vAlign w:val="center"/>
          </w:tcPr>
          <w:p w14:paraId="0E430030" w14:textId="7755035C"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查阅相关设计文件（绿化种植平面图、苗木表等）、</w:t>
            </w:r>
            <w:proofErr w:type="gramStart"/>
            <w:r w:rsidRPr="00356770">
              <w:rPr>
                <w:rFonts w:asciiTheme="majorEastAsia" w:eastAsiaTheme="majorEastAsia" w:hAnsiTheme="majorEastAsia" w:cstheme="majorEastAsia"/>
                <w:color w:val="0D0D0D" w:themeColor="text1" w:themeTint="F2"/>
                <w:szCs w:val="21"/>
              </w:rPr>
              <w:t>绿容率</w:t>
            </w:r>
            <w:proofErr w:type="gramEnd"/>
            <w:r w:rsidRPr="00356770">
              <w:rPr>
                <w:rFonts w:asciiTheme="majorEastAsia" w:eastAsiaTheme="majorEastAsia" w:hAnsiTheme="majorEastAsia" w:cstheme="majorEastAsia"/>
                <w:color w:val="0D0D0D" w:themeColor="text1" w:themeTint="F2"/>
                <w:szCs w:val="21"/>
              </w:rPr>
              <w:t>计算书；评价查阅相关竣工图、</w:t>
            </w:r>
            <w:proofErr w:type="gramStart"/>
            <w:r w:rsidRPr="00356770">
              <w:rPr>
                <w:rFonts w:asciiTheme="majorEastAsia" w:eastAsiaTheme="majorEastAsia" w:hAnsiTheme="majorEastAsia" w:cstheme="majorEastAsia"/>
                <w:color w:val="0D0D0D" w:themeColor="text1" w:themeTint="F2"/>
                <w:szCs w:val="21"/>
              </w:rPr>
              <w:t>绿容率</w:t>
            </w:r>
            <w:proofErr w:type="gramEnd"/>
            <w:r w:rsidRPr="00356770">
              <w:rPr>
                <w:rFonts w:asciiTheme="majorEastAsia" w:eastAsiaTheme="majorEastAsia" w:hAnsiTheme="majorEastAsia" w:cstheme="majorEastAsia"/>
                <w:color w:val="0D0D0D" w:themeColor="text1" w:themeTint="F2"/>
                <w:szCs w:val="21"/>
              </w:rPr>
              <w:t>计算书或植被叶面积测量报告、相关证明材料。</w:t>
            </w:r>
          </w:p>
        </w:tc>
        <w:tc>
          <w:tcPr>
            <w:tcW w:w="648" w:type="pct"/>
          </w:tcPr>
          <w:p w14:paraId="3B6AD89E" w14:textId="2B7D5DDC"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5B36854A" w14:textId="77777777" w:rsidTr="00294D2D">
        <w:tc>
          <w:tcPr>
            <w:tcW w:w="608" w:type="pct"/>
          </w:tcPr>
          <w:p w14:paraId="09822713" w14:textId="4282165C"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5</w:t>
            </w:r>
          </w:p>
        </w:tc>
        <w:tc>
          <w:tcPr>
            <w:tcW w:w="805" w:type="pct"/>
            <w:vAlign w:val="center"/>
          </w:tcPr>
          <w:p w14:paraId="136ECB46" w14:textId="5FA844E7"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采用符合工业化建造要求的结构体系与建筑构件，评价分值为10分，并按下列规则评分：</w:t>
            </w:r>
          </w:p>
          <w:p w14:paraId="1C78F0CF"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主体结构</w:t>
            </w:r>
            <w:r w:rsidRPr="00356770">
              <w:rPr>
                <w:rFonts w:asciiTheme="majorEastAsia" w:eastAsiaTheme="majorEastAsia" w:hAnsiTheme="majorEastAsia" w:cstheme="majorEastAsia" w:hint="eastAsia"/>
                <w:color w:val="0D0D0D" w:themeColor="text1" w:themeTint="F2"/>
                <w:szCs w:val="21"/>
              </w:rPr>
              <w:lastRenderedPageBreak/>
              <w:t>采用钢结构、木结构，得10分。</w:t>
            </w:r>
          </w:p>
          <w:p w14:paraId="6121ADB6" w14:textId="556844EF"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主体结构采用装配式混凝土结构，地上部分预制构件应用混凝土体积占混凝土总体积的比例达到35％，得5分；达到50％，得10分。</w:t>
            </w:r>
          </w:p>
        </w:tc>
        <w:tc>
          <w:tcPr>
            <w:tcW w:w="1351" w:type="pct"/>
            <w:vAlign w:val="center"/>
          </w:tcPr>
          <w:p w14:paraId="64120697" w14:textId="2B4C28B8"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钢结构、木结构及装配式混凝土结构符合减少人工、减少消耗、提高质量、提高效率的工业化建造要求。对于装配式混凝土结构的预制构件混凝土体积计算，无竖向立杆支撑叠合楼盖的现浇混凝土部分可按预制构件考虑，预制剪</w:t>
            </w:r>
            <w:r w:rsidRPr="00356770">
              <w:rPr>
                <w:rFonts w:asciiTheme="majorEastAsia" w:eastAsiaTheme="majorEastAsia" w:hAnsiTheme="majorEastAsia" w:cstheme="majorEastAsia"/>
                <w:color w:val="0D0D0D" w:themeColor="text1" w:themeTint="F2"/>
                <w:szCs w:val="21"/>
              </w:rPr>
              <w:lastRenderedPageBreak/>
              <w:t xml:space="preserve">力墙的边缘构件现浇部分可按预制构件考虑，叠合剪力墙的现浇混凝土部分可按 0.8 </w:t>
            </w:r>
            <w:proofErr w:type="gramStart"/>
            <w:r w:rsidRPr="00356770">
              <w:rPr>
                <w:rFonts w:asciiTheme="majorEastAsia" w:eastAsiaTheme="majorEastAsia" w:hAnsiTheme="majorEastAsia" w:cstheme="majorEastAsia"/>
                <w:color w:val="0D0D0D" w:themeColor="text1" w:themeTint="F2"/>
                <w:szCs w:val="21"/>
              </w:rPr>
              <w:t>倍</w:t>
            </w:r>
            <w:proofErr w:type="gramEnd"/>
            <w:r w:rsidRPr="00356770">
              <w:rPr>
                <w:rFonts w:asciiTheme="majorEastAsia" w:eastAsiaTheme="majorEastAsia" w:hAnsiTheme="majorEastAsia" w:cstheme="majorEastAsia"/>
                <w:color w:val="0D0D0D" w:themeColor="text1" w:themeTint="F2"/>
                <w:szCs w:val="21"/>
              </w:rPr>
              <w:t xml:space="preserve">折算为预制构件，模壳墙的现浇混凝土部分可按 0.5 </w:t>
            </w:r>
            <w:proofErr w:type="gramStart"/>
            <w:r w:rsidRPr="00356770">
              <w:rPr>
                <w:rFonts w:asciiTheme="majorEastAsia" w:eastAsiaTheme="majorEastAsia" w:hAnsiTheme="majorEastAsia" w:cstheme="majorEastAsia"/>
                <w:color w:val="0D0D0D" w:themeColor="text1" w:themeTint="F2"/>
                <w:szCs w:val="21"/>
              </w:rPr>
              <w:t>倍</w:t>
            </w:r>
            <w:proofErr w:type="gramEnd"/>
            <w:r w:rsidRPr="00356770">
              <w:rPr>
                <w:rFonts w:asciiTheme="majorEastAsia" w:eastAsiaTheme="majorEastAsia" w:hAnsiTheme="majorEastAsia" w:cstheme="majorEastAsia"/>
                <w:color w:val="0D0D0D" w:themeColor="text1" w:themeTint="F2"/>
                <w:szCs w:val="21"/>
              </w:rPr>
              <w:t>折算为预制构件。</w:t>
            </w:r>
          </w:p>
        </w:tc>
        <w:tc>
          <w:tcPr>
            <w:tcW w:w="1587" w:type="pct"/>
            <w:vAlign w:val="center"/>
          </w:tcPr>
          <w:p w14:paraId="2293C924" w14:textId="23C2ED91"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查阅相关设计文件、计算书；评价查阅相关竣工图、计算书。</w:t>
            </w:r>
          </w:p>
        </w:tc>
        <w:tc>
          <w:tcPr>
            <w:tcW w:w="648" w:type="pct"/>
          </w:tcPr>
          <w:p w14:paraId="1A982E57" w14:textId="038685B6"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5A9DA47B" w14:textId="77777777" w:rsidTr="00294D2D">
        <w:tc>
          <w:tcPr>
            <w:tcW w:w="608" w:type="pct"/>
          </w:tcPr>
          <w:p w14:paraId="2C40BAD5" w14:textId="14EFB229"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6</w:t>
            </w:r>
          </w:p>
        </w:tc>
        <w:tc>
          <w:tcPr>
            <w:tcW w:w="805" w:type="pct"/>
            <w:vAlign w:val="center"/>
          </w:tcPr>
          <w:p w14:paraId="4A4C3D71" w14:textId="79161D74"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应用建筑信息模型(BIM)技术，</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为15分。在建筑的规划设计、施工建造和运行维护阶段中的一个阶段应用，得5分；两个阶段应用，得10分；三个阶段应用，得15分。</w:t>
            </w:r>
          </w:p>
        </w:tc>
        <w:tc>
          <w:tcPr>
            <w:tcW w:w="1351" w:type="pct"/>
            <w:vAlign w:val="center"/>
          </w:tcPr>
          <w:p w14:paraId="69DDFD80" w14:textId="3A045C8B"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规划设计阶 段主要包括：</w:t>
            </w:r>
            <w:proofErr w:type="gramStart"/>
            <w:r w:rsidRPr="00356770">
              <w:rPr>
                <w:rFonts w:asciiTheme="majorEastAsia" w:eastAsiaTheme="majorEastAsia" w:hAnsiTheme="majorEastAsia" w:cstheme="majorEastAsia"/>
                <w:color w:val="0D0D0D" w:themeColor="text1" w:themeTint="F2"/>
                <w:szCs w:val="21"/>
              </w:rPr>
              <w:t>心投资</w:t>
            </w:r>
            <w:proofErr w:type="gramEnd"/>
            <w:r w:rsidRPr="00356770">
              <w:rPr>
                <w:rFonts w:asciiTheme="majorEastAsia" w:eastAsiaTheme="majorEastAsia" w:hAnsiTheme="majorEastAsia" w:cstheme="majorEastAsia"/>
                <w:color w:val="0D0D0D" w:themeColor="text1" w:themeTint="F2"/>
                <w:szCs w:val="21"/>
              </w:rPr>
              <w:t>策划与规划；＠设计模型建立；＠分析与优化；＠设计成果审核。施工阶段主要包括： (DBIM 施工模型建立；＠细化设计；＠专业协调；＠成本管理与控制；＠施工过程管理；＠质量安全监控; ＠地下工程风险管控；＠交付竣工模型。运营维护阶段主要包括：心运营维护模型建立；＠运营维护管理；＠设备设施运行监控；＠应急管理。评价时，规划设计阶段和运营维护阶段 BIM 分别至少应涉及 项重点内容应用，施工阶段 BIM 至少应涉及 项重点内容应用，方可得分。</w:t>
            </w:r>
          </w:p>
        </w:tc>
        <w:tc>
          <w:tcPr>
            <w:tcW w:w="1587" w:type="pct"/>
            <w:vAlign w:val="center"/>
          </w:tcPr>
          <w:p w14:paraId="04531575" w14:textId="04882AE9"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查阅相关设计文件、 BIM 技术应用报告；评价查阅相关竣工图、 BIM 技术应用报告。</w:t>
            </w:r>
          </w:p>
        </w:tc>
        <w:tc>
          <w:tcPr>
            <w:tcW w:w="648" w:type="pct"/>
          </w:tcPr>
          <w:p w14:paraId="026AE9F2" w14:textId="5AC440DA"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0</w:t>
            </w:r>
          </w:p>
        </w:tc>
      </w:tr>
      <w:tr w:rsidR="00356770" w:rsidRPr="00356770" w14:paraId="226F7096" w14:textId="77777777" w:rsidTr="00294D2D">
        <w:tc>
          <w:tcPr>
            <w:tcW w:w="608" w:type="pct"/>
          </w:tcPr>
          <w:p w14:paraId="5A88C4BC" w14:textId="735254A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7</w:t>
            </w:r>
          </w:p>
        </w:tc>
        <w:tc>
          <w:tcPr>
            <w:tcW w:w="805" w:type="pct"/>
            <w:vAlign w:val="center"/>
          </w:tcPr>
          <w:p w14:paraId="4BF03963" w14:textId="7460265B"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进行建筑碳排放计算分析，采取措施降低单位建筑面积碳排放强度，</w:t>
            </w:r>
            <w:r w:rsidRPr="00356770">
              <w:rPr>
                <w:rFonts w:asciiTheme="majorEastAsia" w:eastAsiaTheme="majorEastAsia" w:hAnsiTheme="majorEastAsia" w:cstheme="majorEastAsia" w:hint="eastAsia"/>
                <w:color w:val="0D0D0D" w:themeColor="text1" w:themeTint="F2"/>
                <w:szCs w:val="21"/>
              </w:rPr>
              <w:lastRenderedPageBreak/>
              <w:t>评价分值为12分。</w:t>
            </w:r>
          </w:p>
        </w:tc>
        <w:tc>
          <w:tcPr>
            <w:tcW w:w="1351" w:type="pct"/>
            <w:vAlign w:val="center"/>
          </w:tcPr>
          <w:p w14:paraId="59D663AE" w14:textId="761F1510"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建筑碳排放计算分析包括建筑固有的碳排放量和标准运行工况下的碳排放量。</w:t>
            </w: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和投入使用前的评价，主要分析建筑的固有碳排放</w:t>
            </w:r>
            <w:r w:rsidRPr="00356770">
              <w:rPr>
                <w:rFonts w:asciiTheme="majorEastAsia" w:eastAsiaTheme="majorEastAsia" w:hAnsiTheme="majorEastAsia" w:cstheme="majorEastAsia"/>
                <w:color w:val="0D0D0D" w:themeColor="text1" w:themeTint="F2"/>
                <w:szCs w:val="21"/>
              </w:rPr>
              <w:lastRenderedPageBreak/>
              <w:t>量；对于投入运行一年的建筑，主要分析在标准运行工况下建筑运行产生的碳排放量。</w:t>
            </w:r>
          </w:p>
        </w:tc>
        <w:tc>
          <w:tcPr>
            <w:tcW w:w="1587" w:type="pct"/>
            <w:vAlign w:val="center"/>
          </w:tcPr>
          <w:p w14:paraId="10BAE673" w14:textId="217807C4"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查阅建筑固有碳排放量计算分析报告（</w:t>
            </w:r>
            <w:proofErr w:type="gramStart"/>
            <w:r w:rsidRPr="00356770">
              <w:rPr>
                <w:rFonts w:asciiTheme="majorEastAsia" w:eastAsiaTheme="majorEastAsia" w:hAnsiTheme="majorEastAsia" w:cstheme="majorEastAsia"/>
                <w:color w:val="0D0D0D" w:themeColor="text1" w:themeTint="F2"/>
                <w:szCs w:val="21"/>
              </w:rPr>
              <w:t>含减排</w:t>
            </w:r>
            <w:proofErr w:type="gramEnd"/>
            <w:r w:rsidRPr="00356770">
              <w:rPr>
                <w:rFonts w:asciiTheme="majorEastAsia" w:eastAsiaTheme="majorEastAsia" w:hAnsiTheme="majorEastAsia" w:cstheme="majorEastAsia"/>
                <w:color w:val="0D0D0D" w:themeColor="text1" w:themeTint="F2"/>
                <w:szCs w:val="21"/>
              </w:rPr>
              <w:t>措施）；评价查阅建筑固有碳排放量计算分析报告（</w:t>
            </w:r>
            <w:proofErr w:type="gramStart"/>
            <w:r w:rsidRPr="00356770">
              <w:rPr>
                <w:rFonts w:asciiTheme="majorEastAsia" w:eastAsiaTheme="majorEastAsia" w:hAnsiTheme="majorEastAsia" w:cstheme="majorEastAsia"/>
                <w:color w:val="0D0D0D" w:themeColor="text1" w:themeTint="F2"/>
                <w:szCs w:val="21"/>
              </w:rPr>
              <w:t>含减排</w:t>
            </w:r>
            <w:proofErr w:type="gramEnd"/>
            <w:r w:rsidRPr="00356770">
              <w:rPr>
                <w:rFonts w:asciiTheme="majorEastAsia" w:eastAsiaTheme="majorEastAsia" w:hAnsiTheme="majorEastAsia" w:cstheme="majorEastAsia"/>
                <w:color w:val="0D0D0D" w:themeColor="text1" w:themeTint="F2"/>
                <w:szCs w:val="21"/>
              </w:rPr>
              <w:t>措施），投入使用的项目尚应查阅标准运行工况下的碳排</w:t>
            </w:r>
            <w:r w:rsidRPr="00356770">
              <w:rPr>
                <w:rFonts w:asciiTheme="majorEastAsia" w:eastAsiaTheme="majorEastAsia" w:hAnsiTheme="majorEastAsia" w:cstheme="majorEastAsia"/>
                <w:color w:val="0D0D0D" w:themeColor="text1" w:themeTint="F2"/>
                <w:szCs w:val="21"/>
              </w:rPr>
              <w:lastRenderedPageBreak/>
              <w:t>放量计算分析报告（</w:t>
            </w:r>
            <w:proofErr w:type="gramStart"/>
            <w:r w:rsidRPr="00356770">
              <w:rPr>
                <w:rFonts w:asciiTheme="majorEastAsia" w:eastAsiaTheme="majorEastAsia" w:hAnsiTheme="majorEastAsia" w:cstheme="majorEastAsia"/>
                <w:color w:val="0D0D0D" w:themeColor="text1" w:themeTint="F2"/>
                <w:szCs w:val="21"/>
              </w:rPr>
              <w:t>含减排</w:t>
            </w:r>
            <w:proofErr w:type="gramEnd"/>
            <w:r w:rsidRPr="00356770">
              <w:rPr>
                <w:rFonts w:asciiTheme="majorEastAsia" w:eastAsiaTheme="majorEastAsia" w:hAnsiTheme="majorEastAsia" w:cstheme="majorEastAsia"/>
                <w:color w:val="0D0D0D" w:themeColor="text1" w:themeTint="F2"/>
                <w:szCs w:val="21"/>
              </w:rPr>
              <w:t>措施）。</w:t>
            </w:r>
          </w:p>
        </w:tc>
        <w:tc>
          <w:tcPr>
            <w:tcW w:w="648" w:type="pct"/>
          </w:tcPr>
          <w:p w14:paraId="6D279441" w14:textId="35F8CBB4"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0</w:t>
            </w:r>
          </w:p>
        </w:tc>
      </w:tr>
      <w:tr w:rsidR="00356770" w:rsidRPr="00356770" w14:paraId="662D8DA5" w14:textId="77777777" w:rsidTr="00294D2D">
        <w:tc>
          <w:tcPr>
            <w:tcW w:w="608" w:type="pct"/>
          </w:tcPr>
          <w:p w14:paraId="5AEF2F96" w14:textId="154BB7C3"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8</w:t>
            </w:r>
          </w:p>
        </w:tc>
        <w:tc>
          <w:tcPr>
            <w:tcW w:w="805" w:type="pct"/>
            <w:vAlign w:val="center"/>
          </w:tcPr>
          <w:p w14:paraId="14CEB4E9" w14:textId="27AC64AD"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按照绿色施工的要求进行施工和管理，</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为20分，并按下列规则分别评分并累计：</w:t>
            </w:r>
          </w:p>
          <w:p w14:paraId="58FF05CA"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获得绿色施工优良等级或绿色施工示范工程认定，得8分；</w:t>
            </w:r>
          </w:p>
          <w:p w14:paraId="4A8E0A99"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采取措施减少预拌混凝土损耗，损耗率降低至1.0％，得4分；</w:t>
            </w:r>
          </w:p>
          <w:p w14:paraId="46395EDB"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3 采取措施减少现场加工钢筋损耗，损耗率降低至1.5％，得4分；</w:t>
            </w:r>
          </w:p>
          <w:p w14:paraId="21F8D825"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4 现浇混凝土构件采用</w:t>
            </w:r>
            <w:proofErr w:type="gramStart"/>
            <w:r w:rsidRPr="00356770">
              <w:rPr>
                <w:rFonts w:asciiTheme="majorEastAsia" w:eastAsiaTheme="majorEastAsia" w:hAnsiTheme="majorEastAsia" w:cstheme="majorEastAsia" w:hint="eastAsia"/>
                <w:color w:val="0D0D0D" w:themeColor="text1" w:themeTint="F2"/>
                <w:szCs w:val="21"/>
              </w:rPr>
              <w:t>铝模等免</w:t>
            </w:r>
            <w:proofErr w:type="gramEnd"/>
            <w:r w:rsidRPr="00356770">
              <w:rPr>
                <w:rFonts w:asciiTheme="majorEastAsia" w:eastAsiaTheme="majorEastAsia" w:hAnsiTheme="majorEastAsia" w:cstheme="majorEastAsia" w:hint="eastAsia"/>
                <w:color w:val="0D0D0D" w:themeColor="text1" w:themeTint="F2"/>
                <w:szCs w:val="21"/>
              </w:rPr>
              <w:t>墙面粉刷的模板体系，得4分。</w:t>
            </w:r>
          </w:p>
          <w:p w14:paraId="250175A5"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p>
        </w:tc>
        <w:tc>
          <w:tcPr>
            <w:tcW w:w="1351" w:type="pct"/>
            <w:vAlign w:val="center"/>
          </w:tcPr>
          <w:p w14:paraId="32A47E1F" w14:textId="1B9EFED1"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第1</w:t>
            </w:r>
            <w:r w:rsidRPr="00356770">
              <w:rPr>
                <w:rFonts w:asciiTheme="majorEastAsia" w:eastAsiaTheme="majorEastAsia" w:hAnsiTheme="majorEastAsia" w:cstheme="majorEastAsia"/>
                <w:color w:val="0D0D0D" w:themeColor="text1" w:themeTint="F2"/>
                <w:szCs w:val="21"/>
              </w:rPr>
              <w:t>款，绿色施工是指在工程项目施工周期内严格进行过程管理，在保证质量、安全等基本要求的前提下，通过科学管理和技术进步，最大限度地节约资源（节材、节水、节能、节地）、 保护环境和减少污染，实现环保、节约、可持续发展的施工工程</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 xml:space="preserve">本条将主管部门授予的“绿色施工优良等级”认定或“绿色施工示范工程”认定作为评分依据。 </w:t>
            </w:r>
          </w:p>
          <w:p w14:paraId="6B8734D7"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第2</w:t>
            </w:r>
            <w:r w:rsidRPr="00356770">
              <w:rPr>
                <w:rFonts w:asciiTheme="majorEastAsia" w:eastAsiaTheme="majorEastAsia" w:hAnsiTheme="majorEastAsia" w:cstheme="majorEastAsia"/>
                <w:color w:val="0D0D0D" w:themeColor="text1" w:themeTint="F2"/>
                <w:szCs w:val="21"/>
              </w:rPr>
              <w:t>款，减少混凝土损耗、降低混凝土消耗量是施工中节材的重点内容之一，我国各地方的工程量预算定额，一般规定预拌混凝土的损耗率是 1. 5%, 但在很多工程施工中超过1.5%,甚至达</w:t>
            </w:r>
            <w:r w:rsidRPr="00356770">
              <w:rPr>
                <w:rFonts w:asciiTheme="majorEastAsia" w:eastAsiaTheme="majorEastAsia" w:hAnsiTheme="majorEastAsia" w:cstheme="majorEastAsia" w:hint="eastAsia"/>
                <w:color w:val="0D0D0D" w:themeColor="text1" w:themeTint="F2"/>
                <w:szCs w:val="21"/>
              </w:rPr>
              <w:t>到</w:t>
            </w:r>
            <w:r w:rsidRPr="00356770">
              <w:rPr>
                <w:rFonts w:asciiTheme="majorEastAsia" w:eastAsiaTheme="majorEastAsia" w:hAnsiTheme="majorEastAsia" w:cstheme="majorEastAsia"/>
                <w:color w:val="0D0D0D" w:themeColor="text1" w:themeTint="F2"/>
                <w:szCs w:val="21"/>
              </w:rPr>
              <w:t xml:space="preserve">2%-3%, 因此有必要对预拌混凝土的损耗率提出要求。 </w:t>
            </w:r>
          </w:p>
          <w:p w14:paraId="3D03042E"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第3</w:t>
            </w:r>
            <w:r w:rsidRPr="00356770">
              <w:rPr>
                <w:rFonts w:asciiTheme="majorEastAsia" w:eastAsiaTheme="majorEastAsia" w:hAnsiTheme="majorEastAsia" w:cstheme="majorEastAsia"/>
                <w:color w:val="0D0D0D" w:themeColor="text1" w:themeTint="F2"/>
                <w:szCs w:val="21"/>
              </w:rPr>
              <w:t xml:space="preserve">款，钢筋是混凝土结构建筑的大宗消耗材料。钢筋浪费是建筑施工中普遍存在的问题，设计、施工不合理都会造成钢筋浪费。我国各地方的工程量预算定额，根据钢筋的规格不同，一般规定的损耗率为 2.5%~4.5% 。根据对国内施工项目的初步调查，施工中实际钢筋浪费率约为 6% 。因此有必要对钢筋的损耗率提出要求。 </w:t>
            </w:r>
          </w:p>
          <w:p w14:paraId="440B00D9" w14:textId="37C43E1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lastRenderedPageBreak/>
              <w:t>第4</w:t>
            </w:r>
            <w:r w:rsidRPr="00356770">
              <w:rPr>
                <w:rFonts w:asciiTheme="majorEastAsia" w:eastAsiaTheme="majorEastAsia" w:hAnsiTheme="majorEastAsia" w:cstheme="majorEastAsia"/>
                <w:color w:val="0D0D0D" w:themeColor="text1" w:themeTint="F2"/>
                <w:szCs w:val="21"/>
              </w:rPr>
              <w:t>款，现浇混凝土构件，施工时</w:t>
            </w:r>
            <w:proofErr w:type="gramStart"/>
            <w:r w:rsidRPr="00356770">
              <w:rPr>
                <w:rFonts w:asciiTheme="majorEastAsia" w:eastAsiaTheme="majorEastAsia" w:hAnsiTheme="majorEastAsia" w:cstheme="majorEastAsia"/>
                <w:color w:val="0D0D0D" w:themeColor="text1" w:themeTint="F2"/>
                <w:szCs w:val="21"/>
              </w:rPr>
              <w:t>采用铝模体系</w:t>
            </w:r>
            <w:proofErr w:type="gramEnd"/>
            <w:r w:rsidRPr="00356770">
              <w:rPr>
                <w:rFonts w:asciiTheme="majorEastAsia" w:eastAsiaTheme="majorEastAsia" w:hAnsiTheme="majorEastAsia" w:cstheme="majorEastAsia"/>
                <w:color w:val="0D0D0D" w:themeColor="text1" w:themeTint="F2"/>
                <w:szCs w:val="21"/>
              </w:rPr>
              <w:t>，可确保构件表面的平整度，避免二次找平粉刷，从而节约材料，降低材料消耗。</w:t>
            </w:r>
          </w:p>
        </w:tc>
        <w:tc>
          <w:tcPr>
            <w:tcW w:w="1587" w:type="pct"/>
            <w:vAlign w:val="center"/>
          </w:tcPr>
          <w:p w14:paraId="752C70BA" w14:textId="7E8EC8FA"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评价查阅绿色施工实施方案、绿色施工等级或绿色施工示范工程的认定文件，混凝土用量结算清单、预拌混凝土进货单，施工单位统计计算的预拌混凝土损耗率，现场钢筋加工的钢筋工程量清单、钢筋用量结算清单，钢筋进货单，施工单位统计计算的现场加工钢筋损耗率、</w:t>
            </w:r>
            <w:proofErr w:type="gramStart"/>
            <w:r w:rsidRPr="00356770">
              <w:rPr>
                <w:rFonts w:asciiTheme="majorEastAsia" w:eastAsiaTheme="majorEastAsia" w:hAnsiTheme="majorEastAsia" w:cstheme="majorEastAsia"/>
                <w:color w:val="0D0D0D" w:themeColor="text1" w:themeTint="F2"/>
                <w:szCs w:val="21"/>
              </w:rPr>
              <w:t>铝模材料</w:t>
            </w:r>
            <w:proofErr w:type="gramEnd"/>
            <w:r w:rsidRPr="00356770">
              <w:rPr>
                <w:rFonts w:asciiTheme="majorEastAsia" w:eastAsiaTheme="majorEastAsia" w:hAnsiTheme="majorEastAsia" w:cstheme="majorEastAsia"/>
                <w:color w:val="0D0D0D" w:themeColor="text1" w:themeTint="F2"/>
                <w:szCs w:val="21"/>
              </w:rPr>
              <w:t>设计方案及施工日志。</w:t>
            </w:r>
          </w:p>
        </w:tc>
        <w:tc>
          <w:tcPr>
            <w:tcW w:w="648" w:type="pct"/>
          </w:tcPr>
          <w:p w14:paraId="44ED7EFD" w14:textId="64D0B635"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0</w:t>
            </w:r>
          </w:p>
        </w:tc>
      </w:tr>
      <w:tr w:rsidR="00356770" w:rsidRPr="00356770" w14:paraId="4A1FC6F8" w14:textId="77777777" w:rsidTr="00294D2D">
        <w:tc>
          <w:tcPr>
            <w:tcW w:w="608" w:type="pct"/>
          </w:tcPr>
          <w:p w14:paraId="37C5613D" w14:textId="59DB00BE"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9</w:t>
            </w:r>
          </w:p>
        </w:tc>
        <w:tc>
          <w:tcPr>
            <w:tcW w:w="805" w:type="pct"/>
            <w:vAlign w:val="center"/>
          </w:tcPr>
          <w:p w14:paraId="46C109BE" w14:textId="3DA253B8" w:rsidR="00294D2D" w:rsidRPr="00356770" w:rsidRDefault="00294D2D" w:rsidP="00294D2D">
            <w:pPr>
              <w:ind w:firstLineChars="100" w:firstLine="210"/>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采用建设工程质量潜在缺陷保险产品，</w:t>
            </w:r>
            <w:proofErr w:type="gramStart"/>
            <w:r w:rsidRPr="00356770">
              <w:rPr>
                <w:rFonts w:asciiTheme="majorEastAsia" w:eastAsiaTheme="majorEastAsia" w:hAnsiTheme="majorEastAsia" w:cstheme="majorEastAsia" w:hint="eastAsia"/>
                <w:color w:val="0D0D0D" w:themeColor="text1" w:themeTint="F2"/>
                <w:szCs w:val="21"/>
              </w:rPr>
              <w:t>评价总分值</w:t>
            </w:r>
            <w:proofErr w:type="gramEnd"/>
            <w:r w:rsidRPr="00356770">
              <w:rPr>
                <w:rFonts w:asciiTheme="majorEastAsia" w:eastAsiaTheme="majorEastAsia" w:hAnsiTheme="majorEastAsia" w:cstheme="majorEastAsia" w:hint="eastAsia"/>
                <w:color w:val="0D0D0D" w:themeColor="text1" w:themeTint="F2"/>
                <w:szCs w:val="21"/>
              </w:rPr>
              <w:t>为20分，并按下列规则分别评分并累计：</w:t>
            </w:r>
          </w:p>
          <w:p w14:paraId="769F9FA7"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1 保险承保范围包括地基基础工程、主体结构工程、屋面防水工程和其他土建工程的质量问题，得10分；</w:t>
            </w:r>
          </w:p>
          <w:p w14:paraId="64BCBD81"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 保险承保范围包括装修工程、电气管线、上下水管线的安装工程，供热、供冷系统工程的质量问题，得10分。</w:t>
            </w:r>
          </w:p>
          <w:p w14:paraId="2A303C46" w14:textId="77777777" w:rsidR="00294D2D" w:rsidRPr="00356770" w:rsidRDefault="00294D2D" w:rsidP="00294D2D">
            <w:pPr>
              <w:jc w:val="left"/>
              <w:rPr>
                <w:rFonts w:asciiTheme="majorEastAsia" w:eastAsiaTheme="majorEastAsia" w:hAnsiTheme="majorEastAsia" w:cstheme="majorEastAsia"/>
                <w:color w:val="0D0D0D" w:themeColor="text1" w:themeTint="F2"/>
                <w:szCs w:val="21"/>
              </w:rPr>
            </w:pPr>
          </w:p>
        </w:tc>
        <w:tc>
          <w:tcPr>
            <w:tcW w:w="1351" w:type="pct"/>
            <w:vAlign w:val="center"/>
          </w:tcPr>
          <w:p w14:paraId="17851E7A" w14:textId="177291BD"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 xml:space="preserve"> </w:t>
            </w:r>
            <w:r w:rsidRPr="00356770">
              <w:rPr>
                <w:rFonts w:asciiTheme="majorEastAsia" w:eastAsiaTheme="majorEastAsia" w:hAnsiTheme="majorEastAsia" w:cstheme="majorEastAsia"/>
                <w:color w:val="0D0D0D" w:themeColor="text1" w:themeTint="F2"/>
                <w:szCs w:val="21"/>
              </w:rPr>
              <w:t>保险一般承保工程竣工验收之日起一定年限（如 10 年）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w:t>
            </w:r>
          </w:p>
        </w:tc>
        <w:tc>
          <w:tcPr>
            <w:tcW w:w="1587" w:type="pct"/>
            <w:vAlign w:val="center"/>
          </w:tcPr>
          <w:p w14:paraId="68EEE803" w14:textId="341D2FBF"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t>预评价</w:t>
            </w:r>
            <w:proofErr w:type="gramEnd"/>
            <w:r w:rsidRPr="00356770">
              <w:rPr>
                <w:rFonts w:asciiTheme="majorEastAsia" w:eastAsiaTheme="majorEastAsia" w:hAnsiTheme="majorEastAsia" w:cstheme="majorEastAsia"/>
                <w:color w:val="0D0D0D" w:themeColor="text1" w:themeTint="F2"/>
                <w:szCs w:val="21"/>
              </w:rPr>
              <w:t>查阅建设工程质量保险产品投保计划；评价查阅建设工程质量保险产品保单，核查其约定条件和实施情况。</w:t>
            </w:r>
          </w:p>
        </w:tc>
        <w:tc>
          <w:tcPr>
            <w:tcW w:w="648" w:type="pct"/>
          </w:tcPr>
          <w:p w14:paraId="3047B60C" w14:textId="133EA9E4"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0</w:t>
            </w:r>
          </w:p>
        </w:tc>
      </w:tr>
      <w:tr w:rsidR="00356770" w:rsidRPr="00356770" w14:paraId="098E4645" w14:textId="77777777" w:rsidTr="00294D2D">
        <w:tc>
          <w:tcPr>
            <w:tcW w:w="608" w:type="pct"/>
          </w:tcPr>
          <w:p w14:paraId="3A74D43B" w14:textId="089B09FC"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9.</w:t>
            </w:r>
            <w:r w:rsidRPr="00356770">
              <w:rPr>
                <w:rFonts w:asciiTheme="majorEastAsia" w:eastAsiaTheme="majorEastAsia" w:hAnsiTheme="majorEastAsia" w:cstheme="majorEastAsia"/>
                <w:color w:val="0D0D0D" w:themeColor="text1" w:themeTint="F2"/>
                <w:szCs w:val="21"/>
              </w:rPr>
              <w:t>2</w:t>
            </w:r>
            <w:r w:rsidRPr="00356770">
              <w:rPr>
                <w:rFonts w:asciiTheme="majorEastAsia" w:eastAsiaTheme="majorEastAsia" w:hAnsiTheme="majorEastAsia" w:cstheme="majorEastAsia" w:hint="eastAsia"/>
                <w:color w:val="0D0D0D" w:themeColor="text1" w:themeTint="F2"/>
                <w:szCs w:val="21"/>
              </w:rPr>
              <w:t>.</w:t>
            </w:r>
            <w:r w:rsidRPr="00356770">
              <w:rPr>
                <w:rFonts w:asciiTheme="majorEastAsia" w:eastAsiaTheme="majorEastAsia" w:hAnsiTheme="majorEastAsia" w:cstheme="majorEastAsia"/>
                <w:color w:val="0D0D0D" w:themeColor="text1" w:themeTint="F2"/>
                <w:szCs w:val="21"/>
              </w:rPr>
              <w:t>10</w:t>
            </w:r>
          </w:p>
        </w:tc>
        <w:tc>
          <w:tcPr>
            <w:tcW w:w="805" w:type="pct"/>
            <w:vAlign w:val="center"/>
          </w:tcPr>
          <w:p w14:paraId="2EFEB187" w14:textId="3D3CF31F"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t xml:space="preserve"> </w:t>
            </w:r>
            <w:r w:rsidRPr="00356770">
              <w:rPr>
                <w:rFonts w:asciiTheme="majorEastAsia" w:eastAsiaTheme="majorEastAsia" w:hAnsiTheme="majorEastAsia" w:cstheme="majorEastAsia" w:hint="eastAsia"/>
                <w:color w:val="0D0D0D" w:themeColor="text1" w:themeTint="F2"/>
                <w:szCs w:val="21"/>
              </w:rPr>
              <w:t xml:space="preserve"> 采取节约资源、保护生态环境、保障安全健康、智慧友好运行、传承历史文化等其他创新，并有明显效益，</w:t>
            </w:r>
            <w:proofErr w:type="gramStart"/>
            <w:r w:rsidRPr="00356770">
              <w:rPr>
                <w:rFonts w:asciiTheme="majorEastAsia" w:eastAsiaTheme="majorEastAsia" w:hAnsiTheme="majorEastAsia" w:cstheme="majorEastAsia" w:hint="eastAsia"/>
                <w:color w:val="0D0D0D" w:themeColor="text1" w:themeTint="F2"/>
                <w:szCs w:val="21"/>
              </w:rPr>
              <w:t>评</w:t>
            </w:r>
            <w:r w:rsidRPr="00356770">
              <w:rPr>
                <w:rFonts w:asciiTheme="majorEastAsia" w:eastAsiaTheme="majorEastAsia" w:hAnsiTheme="majorEastAsia" w:cstheme="majorEastAsia" w:hint="eastAsia"/>
                <w:color w:val="0D0D0D" w:themeColor="text1" w:themeTint="F2"/>
                <w:szCs w:val="21"/>
              </w:rPr>
              <w:lastRenderedPageBreak/>
              <w:t>价总分值</w:t>
            </w:r>
            <w:proofErr w:type="gramEnd"/>
            <w:r w:rsidRPr="00356770">
              <w:rPr>
                <w:rFonts w:asciiTheme="majorEastAsia" w:eastAsiaTheme="majorEastAsia" w:hAnsiTheme="majorEastAsia" w:cstheme="majorEastAsia" w:hint="eastAsia"/>
                <w:color w:val="0D0D0D" w:themeColor="text1" w:themeTint="F2"/>
                <w:szCs w:val="21"/>
              </w:rPr>
              <w:t>为40分。</w:t>
            </w:r>
            <w:proofErr w:type="gramStart"/>
            <w:r w:rsidRPr="00356770">
              <w:rPr>
                <w:rFonts w:asciiTheme="majorEastAsia" w:eastAsiaTheme="majorEastAsia" w:hAnsiTheme="majorEastAsia" w:cstheme="majorEastAsia" w:hint="eastAsia"/>
                <w:color w:val="0D0D0D" w:themeColor="text1" w:themeTint="F2"/>
                <w:szCs w:val="21"/>
              </w:rPr>
              <w:t>每采取</w:t>
            </w:r>
            <w:proofErr w:type="gramEnd"/>
            <w:r w:rsidRPr="00356770">
              <w:rPr>
                <w:rFonts w:asciiTheme="majorEastAsia" w:eastAsiaTheme="majorEastAsia" w:hAnsiTheme="majorEastAsia" w:cstheme="majorEastAsia" w:hint="eastAsia"/>
                <w:color w:val="0D0D0D" w:themeColor="text1" w:themeTint="F2"/>
                <w:szCs w:val="21"/>
              </w:rPr>
              <w:t>一项，得10分，最高得40分。</w:t>
            </w:r>
          </w:p>
        </w:tc>
        <w:tc>
          <w:tcPr>
            <w:tcW w:w="1351" w:type="pct"/>
            <w:vAlign w:val="center"/>
          </w:tcPr>
          <w:p w14:paraId="7BED5691" w14:textId="27FBA748" w:rsidR="00294D2D" w:rsidRPr="00356770" w:rsidRDefault="00294D2D" w:rsidP="00294D2D">
            <w:pPr>
              <w:jc w:val="left"/>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color w:val="0D0D0D" w:themeColor="text1" w:themeTint="F2"/>
                <w:szCs w:val="21"/>
              </w:rPr>
              <w:lastRenderedPageBreak/>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w:t>
            </w:r>
            <w:r w:rsidRPr="00356770">
              <w:rPr>
                <w:rFonts w:asciiTheme="majorEastAsia" w:eastAsiaTheme="majorEastAsia" w:hAnsiTheme="majorEastAsia" w:cstheme="majorEastAsia"/>
                <w:color w:val="0D0D0D" w:themeColor="text1" w:themeTint="F2"/>
                <w:szCs w:val="21"/>
              </w:rPr>
              <w:lastRenderedPageBreak/>
              <w:t>达到合理指标但具备显著降低成本或提高工效等优点。本条未列出所有的创新项内容，只要申请方能够提供足够相关证明，并通过专家组的评审即可认为满足要求。</w:t>
            </w:r>
          </w:p>
        </w:tc>
        <w:tc>
          <w:tcPr>
            <w:tcW w:w="1587" w:type="pct"/>
            <w:vAlign w:val="center"/>
          </w:tcPr>
          <w:p w14:paraId="5B1EE04D" w14:textId="7C4D2BA0" w:rsidR="00294D2D" w:rsidRPr="00356770" w:rsidRDefault="00294D2D" w:rsidP="00294D2D">
            <w:pPr>
              <w:jc w:val="left"/>
              <w:rPr>
                <w:rFonts w:asciiTheme="majorEastAsia" w:eastAsiaTheme="majorEastAsia" w:hAnsiTheme="majorEastAsia" w:cstheme="majorEastAsia"/>
                <w:color w:val="0D0D0D" w:themeColor="text1" w:themeTint="F2"/>
                <w:szCs w:val="21"/>
              </w:rPr>
            </w:pPr>
            <w:proofErr w:type="gramStart"/>
            <w:r w:rsidRPr="00356770">
              <w:rPr>
                <w:rFonts w:asciiTheme="majorEastAsia" w:eastAsiaTheme="majorEastAsia" w:hAnsiTheme="majorEastAsia" w:cstheme="majorEastAsia"/>
                <w:color w:val="0D0D0D" w:themeColor="text1" w:themeTint="F2"/>
                <w:szCs w:val="21"/>
              </w:rPr>
              <w:lastRenderedPageBreak/>
              <w:t>预评价</w:t>
            </w:r>
            <w:proofErr w:type="gramEnd"/>
            <w:r w:rsidRPr="00356770">
              <w:rPr>
                <w:rFonts w:asciiTheme="majorEastAsia" w:eastAsiaTheme="majorEastAsia" w:hAnsiTheme="majorEastAsia" w:cstheme="majorEastAsia"/>
                <w:color w:val="0D0D0D" w:themeColor="text1" w:themeTint="F2"/>
                <w:szCs w:val="21"/>
              </w:rPr>
              <w:t>查阅相关设计文件、分析论证报告及相关证明材料；评价查阅相关设计文件、分析论证报告及相关证明材料。</w:t>
            </w:r>
          </w:p>
        </w:tc>
        <w:tc>
          <w:tcPr>
            <w:tcW w:w="648" w:type="pct"/>
          </w:tcPr>
          <w:p w14:paraId="4A8FCBE7" w14:textId="651963DF" w:rsidR="00294D2D" w:rsidRPr="00356770" w:rsidRDefault="00D86C96"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2</w:t>
            </w:r>
            <w:r w:rsidRPr="00356770">
              <w:rPr>
                <w:rFonts w:asciiTheme="majorEastAsia" w:eastAsiaTheme="majorEastAsia" w:hAnsiTheme="majorEastAsia" w:cstheme="majorEastAsia"/>
                <w:color w:val="0D0D0D" w:themeColor="text1" w:themeTint="F2"/>
                <w:szCs w:val="21"/>
              </w:rPr>
              <w:t>0</w:t>
            </w:r>
          </w:p>
        </w:tc>
      </w:tr>
      <w:tr w:rsidR="00294D2D" w:rsidRPr="00356770" w14:paraId="2C954716" w14:textId="77777777" w:rsidTr="00294D2D">
        <w:tc>
          <w:tcPr>
            <w:tcW w:w="1414" w:type="pct"/>
            <w:gridSpan w:val="2"/>
          </w:tcPr>
          <w:p w14:paraId="6D94EB00" w14:textId="7777777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评价汇总</w:t>
            </w:r>
          </w:p>
        </w:tc>
        <w:tc>
          <w:tcPr>
            <w:tcW w:w="3586" w:type="pct"/>
            <w:gridSpan w:val="3"/>
          </w:tcPr>
          <w:p w14:paraId="05085AEF" w14:textId="552B2B17" w:rsidR="00294D2D" w:rsidRPr="00356770" w:rsidRDefault="00294D2D" w:rsidP="00294D2D">
            <w:pPr>
              <w:jc w:val="center"/>
              <w:rPr>
                <w:rFonts w:asciiTheme="majorEastAsia" w:eastAsiaTheme="majorEastAsia" w:hAnsiTheme="majorEastAsia" w:cstheme="majorEastAsia"/>
                <w:color w:val="0D0D0D" w:themeColor="text1" w:themeTint="F2"/>
                <w:szCs w:val="21"/>
              </w:rPr>
            </w:pPr>
            <w:r w:rsidRPr="00356770">
              <w:rPr>
                <w:rFonts w:asciiTheme="majorEastAsia" w:eastAsiaTheme="majorEastAsia" w:hAnsiTheme="majorEastAsia" w:cstheme="majorEastAsia" w:hint="eastAsia"/>
                <w:color w:val="0D0D0D" w:themeColor="text1" w:themeTint="F2"/>
                <w:szCs w:val="21"/>
              </w:rPr>
              <w:t>提高与创新项总分：</w:t>
            </w:r>
            <w:r w:rsidR="00D86C96" w:rsidRPr="00356770">
              <w:rPr>
                <w:rFonts w:asciiTheme="majorEastAsia" w:eastAsiaTheme="majorEastAsia" w:hAnsiTheme="majorEastAsia" w:cstheme="majorEastAsia" w:hint="eastAsia"/>
                <w:color w:val="0D0D0D" w:themeColor="text1" w:themeTint="F2"/>
                <w:szCs w:val="21"/>
              </w:rPr>
              <w:t>6</w:t>
            </w:r>
            <w:r w:rsidR="00D86C96" w:rsidRPr="00356770">
              <w:rPr>
                <w:rFonts w:asciiTheme="majorEastAsia" w:eastAsiaTheme="majorEastAsia" w:hAnsiTheme="majorEastAsia" w:cstheme="majorEastAsia"/>
                <w:color w:val="0D0D0D" w:themeColor="text1" w:themeTint="F2"/>
                <w:szCs w:val="21"/>
              </w:rPr>
              <w:t>0</w:t>
            </w:r>
          </w:p>
        </w:tc>
      </w:tr>
    </w:tbl>
    <w:p w14:paraId="75D4DCAC" w14:textId="00FF7FA0" w:rsidR="000009FC" w:rsidRPr="00356770" w:rsidRDefault="000009FC" w:rsidP="008419D7">
      <w:pPr>
        <w:jc w:val="center"/>
        <w:rPr>
          <w:rFonts w:asciiTheme="majorEastAsia" w:eastAsiaTheme="majorEastAsia" w:hAnsiTheme="majorEastAsia" w:cstheme="majorEastAsia"/>
          <w:b/>
          <w:bCs/>
          <w:color w:val="0D0D0D" w:themeColor="text1" w:themeTint="F2"/>
          <w:szCs w:val="21"/>
        </w:rPr>
      </w:pPr>
    </w:p>
    <w:p w14:paraId="13EA07F6"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表5.2.11 可调节遮阳设施的面积占外窗透明部分比例评分规则</w:t>
      </w:r>
    </w:p>
    <w:p w14:paraId="14402AAF" w14:textId="77E8D02B"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noProof/>
          <w:color w:val="0D0D0D" w:themeColor="text1" w:themeTint="F2"/>
          <w:szCs w:val="21"/>
        </w:rPr>
        <w:drawing>
          <wp:inline distT="0" distB="0" distL="0" distR="0" wp14:anchorId="232FC862" wp14:editId="62FF23AE">
            <wp:extent cx="4645325" cy="1295400"/>
            <wp:effectExtent l="0" t="0" r="3175" b="0"/>
            <wp:docPr id="3" name="图片 3" descr="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格&#10;&#10;中度可信度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58579" cy="1299096"/>
                    </a:xfrm>
                    <a:prstGeom prst="rect">
                      <a:avLst/>
                    </a:prstGeom>
                    <a:noFill/>
                    <a:ln>
                      <a:noFill/>
                    </a:ln>
                  </pic:spPr>
                </pic:pic>
              </a:graphicData>
            </a:graphic>
          </wp:inline>
        </w:drawing>
      </w:r>
    </w:p>
    <w:p w14:paraId="3986FFBA"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7CB22588"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表7.2.1-2 公共建筑容积率(R)评分规则</w:t>
      </w:r>
    </w:p>
    <w:p w14:paraId="5956C7D1" w14:textId="1BA8D30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noProof/>
          <w:color w:val="0D0D0D" w:themeColor="text1" w:themeTint="F2"/>
          <w:szCs w:val="21"/>
        </w:rPr>
        <w:drawing>
          <wp:inline distT="0" distB="0" distL="0" distR="0" wp14:anchorId="28E2D643" wp14:editId="67E37267">
            <wp:extent cx="4572000" cy="1588499"/>
            <wp:effectExtent l="0" t="0" r="0" b="0"/>
            <wp:docPr id="4" name="图片 4"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表格&#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96237" cy="1596920"/>
                    </a:xfrm>
                    <a:prstGeom prst="rect">
                      <a:avLst/>
                    </a:prstGeom>
                    <a:noFill/>
                    <a:ln>
                      <a:noFill/>
                    </a:ln>
                  </pic:spPr>
                </pic:pic>
              </a:graphicData>
            </a:graphic>
          </wp:inline>
        </w:drawing>
      </w:r>
    </w:p>
    <w:p w14:paraId="36B485D1"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60DCD8FD"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46F6E016"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6F28C048"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1840142C"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16A66D64"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0C138498"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1D7CD6DA"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3471E34F"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3A86BE76" w14:textId="7108BDF9" w:rsidR="008419D7" w:rsidRDefault="008419D7" w:rsidP="008419D7">
      <w:pPr>
        <w:jc w:val="center"/>
        <w:rPr>
          <w:rFonts w:asciiTheme="majorEastAsia" w:eastAsiaTheme="majorEastAsia" w:hAnsiTheme="majorEastAsia" w:cstheme="majorEastAsia"/>
          <w:b/>
          <w:bCs/>
          <w:color w:val="0D0D0D" w:themeColor="text1" w:themeTint="F2"/>
          <w:szCs w:val="21"/>
        </w:rPr>
      </w:pPr>
    </w:p>
    <w:p w14:paraId="776CEBA5" w14:textId="28991241"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135DFE17" w14:textId="17E96DDB"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7128388E" w14:textId="2F0EA329"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5F96343C" w14:textId="205EC18F"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6E3443AB" w14:textId="6614E437"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4A83FDCD" w14:textId="44AC89EC"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2A340484" w14:textId="289E175E" w:rsidR="00356770" w:rsidRDefault="00356770" w:rsidP="008419D7">
      <w:pPr>
        <w:jc w:val="center"/>
        <w:rPr>
          <w:rFonts w:asciiTheme="majorEastAsia" w:eastAsiaTheme="majorEastAsia" w:hAnsiTheme="majorEastAsia" w:cstheme="majorEastAsia"/>
          <w:b/>
          <w:bCs/>
          <w:color w:val="0D0D0D" w:themeColor="text1" w:themeTint="F2"/>
          <w:szCs w:val="21"/>
        </w:rPr>
      </w:pPr>
    </w:p>
    <w:p w14:paraId="53F33BB4" w14:textId="77777777" w:rsidR="00356770" w:rsidRPr="00356770" w:rsidRDefault="00356770" w:rsidP="008419D7">
      <w:pPr>
        <w:jc w:val="center"/>
        <w:rPr>
          <w:rFonts w:asciiTheme="majorEastAsia" w:eastAsiaTheme="majorEastAsia" w:hAnsiTheme="majorEastAsia" w:cstheme="majorEastAsia" w:hint="eastAsia"/>
          <w:b/>
          <w:bCs/>
          <w:color w:val="0D0D0D" w:themeColor="text1" w:themeTint="F2"/>
          <w:szCs w:val="21"/>
        </w:rPr>
      </w:pPr>
    </w:p>
    <w:p w14:paraId="713C8F0A" w14:textId="102A1C2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lastRenderedPageBreak/>
        <w:t>表7.2.2 地下空间开发利用指标评分规则</w:t>
      </w:r>
    </w:p>
    <w:p w14:paraId="3B4864F9" w14:textId="6E18463F"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noProof/>
          <w:color w:val="0D0D0D" w:themeColor="text1" w:themeTint="F2"/>
          <w:szCs w:val="21"/>
        </w:rPr>
        <w:drawing>
          <wp:inline distT="0" distB="0" distL="0" distR="0" wp14:anchorId="0F07CD6E" wp14:editId="517E1C80">
            <wp:extent cx="4157806" cy="16357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63297" cy="1637920"/>
                    </a:xfrm>
                    <a:prstGeom prst="rect">
                      <a:avLst/>
                    </a:prstGeom>
                    <a:noFill/>
                    <a:ln>
                      <a:noFill/>
                    </a:ln>
                  </pic:spPr>
                </pic:pic>
              </a:graphicData>
            </a:graphic>
          </wp:inline>
        </w:drawing>
      </w:r>
    </w:p>
    <w:p w14:paraId="344BC05F"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6356857D"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表7.2.5 冷、热源机组能效提升幅度评分规则</w:t>
      </w:r>
    </w:p>
    <w:p w14:paraId="094BEEDF"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noProof/>
          <w:color w:val="0D0D0D" w:themeColor="text1" w:themeTint="F2"/>
          <w:szCs w:val="21"/>
        </w:rPr>
        <w:drawing>
          <wp:inline distT="0" distB="0" distL="0" distR="0" wp14:anchorId="4A6476CB" wp14:editId="5AD44A6D">
            <wp:extent cx="4074160" cy="2078607"/>
            <wp:effectExtent l="0" t="0" r="2540" b="0"/>
            <wp:docPr id="6" name="图片 6"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80229" cy="2081703"/>
                    </a:xfrm>
                    <a:prstGeom prst="rect">
                      <a:avLst/>
                    </a:prstGeom>
                    <a:noFill/>
                    <a:ln>
                      <a:noFill/>
                    </a:ln>
                  </pic:spPr>
                </pic:pic>
              </a:graphicData>
            </a:graphic>
          </wp:inline>
        </w:drawing>
      </w:r>
    </w:p>
    <w:p w14:paraId="4117880D" w14:textId="449732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noProof/>
          <w:color w:val="0D0D0D" w:themeColor="text1" w:themeTint="F2"/>
          <w:szCs w:val="21"/>
        </w:rPr>
        <w:drawing>
          <wp:inline distT="0" distB="0" distL="0" distR="0" wp14:anchorId="03DE85C1" wp14:editId="0C3767D6">
            <wp:extent cx="4072890" cy="2642460"/>
            <wp:effectExtent l="0" t="0" r="3810" b="5715"/>
            <wp:docPr id="7" name="图片 7"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表格&#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6195" cy="2657580"/>
                    </a:xfrm>
                    <a:prstGeom prst="rect">
                      <a:avLst/>
                    </a:prstGeom>
                    <a:noFill/>
                    <a:ln>
                      <a:noFill/>
                    </a:ln>
                  </pic:spPr>
                </pic:pic>
              </a:graphicData>
            </a:graphic>
          </wp:inline>
        </w:drawing>
      </w:r>
    </w:p>
    <w:p w14:paraId="7777E222"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026406D0"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316ADAA9"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761DADA0"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2B0F2D45"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74A996F5"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133BDD83"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73369118"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514DE747"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24386646"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125D6FEE"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p>
    <w:p w14:paraId="3ECB268D" w14:textId="22B845E0"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表7.2.9 可再生能源利用评分规则</w:t>
      </w:r>
    </w:p>
    <w:p w14:paraId="1292C22C" w14:textId="77777777" w:rsidR="008419D7" w:rsidRPr="00356770" w:rsidRDefault="008419D7" w:rsidP="008419D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noProof/>
          <w:color w:val="0D0D0D" w:themeColor="text1" w:themeTint="F2"/>
          <w:szCs w:val="21"/>
        </w:rPr>
        <w:drawing>
          <wp:inline distT="0" distB="0" distL="0" distR="0" wp14:anchorId="348CD97A" wp14:editId="002960C4">
            <wp:extent cx="3514636" cy="3045031"/>
            <wp:effectExtent l="0" t="0" r="0" b="3175"/>
            <wp:docPr id="8" name="图片 8"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表格&#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715" cy="3053763"/>
                    </a:xfrm>
                    <a:prstGeom prst="rect">
                      <a:avLst/>
                    </a:prstGeom>
                    <a:noFill/>
                    <a:ln>
                      <a:noFill/>
                    </a:ln>
                  </pic:spPr>
                </pic:pic>
              </a:graphicData>
            </a:graphic>
          </wp:inline>
        </w:drawing>
      </w:r>
    </w:p>
    <w:p w14:paraId="64CFD34C" w14:textId="77777777" w:rsidR="008419D7" w:rsidRPr="00356770" w:rsidRDefault="008419D7">
      <w:pPr>
        <w:jc w:val="left"/>
        <w:rPr>
          <w:rFonts w:asciiTheme="majorEastAsia" w:eastAsiaTheme="majorEastAsia" w:hAnsiTheme="majorEastAsia" w:cstheme="majorEastAsia"/>
          <w:b/>
          <w:bCs/>
          <w:color w:val="0D0D0D" w:themeColor="text1" w:themeTint="F2"/>
          <w:szCs w:val="21"/>
        </w:rPr>
      </w:pPr>
    </w:p>
    <w:p w14:paraId="30735E3C" w14:textId="77777777"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816121B" w14:textId="77777777"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1DFC7C5" w14:textId="5E459AD8"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2F52327A" w14:textId="7F673C45"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36802DFC" w14:textId="6E70ED64"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7D501527" w14:textId="044874E1"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6AB88B04" w14:textId="44BA09E5"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301A702E" w14:textId="014E7453"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39D13EF0" w14:textId="2B684C2A"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5B3EB76E" w14:textId="100FDE71"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4BD5429B" w14:textId="4F691EEE"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ED47C83" w14:textId="08B95E39"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4A605FC3" w14:textId="6E469860"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2550813B" w14:textId="1C7A6CB5"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1FA91F0B" w14:textId="3618A0D2"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69DE5820" w14:textId="11E7BA8A"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1EBFDBA" w14:textId="557187E2"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7F76D599" w14:textId="0CED4007"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4BE0053" w14:textId="081F10FA"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2ADAE95D" w14:textId="2B376483"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717B342" w14:textId="3344B143"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6D511959" w14:textId="5B466C82"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37BD96C3" w14:textId="7F4D8104"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5B5B6FE9" w14:textId="5DE1286A"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21D8647E" w14:textId="05940487"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1A7E5EDA" w14:textId="7D098052"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708CD3A8" w14:textId="65A0B643"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617D0746" w14:textId="77777777" w:rsidR="008419D7" w:rsidRPr="00356770" w:rsidRDefault="008419D7">
      <w:pPr>
        <w:jc w:val="center"/>
        <w:rPr>
          <w:rFonts w:asciiTheme="majorEastAsia" w:eastAsiaTheme="majorEastAsia" w:hAnsiTheme="majorEastAsia" w:cstheme="majorEastAsia"/>
          <w:b/>
          <w:bCs/>
          <w:color w:val="0D0D0D" w:themeColor="text1" w:themeTint="F2"/>
          <w:szCs w:val="21"/>
        </w:rPr>
      </w:pPr>
    </w:p>
    <w:p w14:paraId="0222AFD8" w14:textId="51C15B7E"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lastRenderedPageBreak/>
        <w:t>附表</w:t>
      </w:r>
      <w:r w:rsidRPr="00356770">
        <w:rPr>
          <w:rFonts w:asciiTheme="majorEastAsia" w:eastAsiaTheme="majorEastAsia" w:hAnsiTheme="majorEastAsia" w:cstheme="majorEastAsia" w:hint="eastAsia"/>
          <w:b/>
          <w:bCs/>
          <w:color w:val="0D0D0D" w:themeColor="text1" w:themeTint="F2"/>
          <w:szCs w:val="21"/>
        </w:rPr>
        <w:t>B</w:t>
      </w:r>
      <w:r w:rsidRPr="00356770">
        <w:rPr>
          <w:rFonts w:asciiTheme="majorEastAsia" w:eastAsiaTheme="majorEastAsia" w:hAnsiTheme="majorEastAsia" w:cstheme="majorEastAsia"/>
          <w:b/>
          <w:bCs/>
          <w:color w:val="0D0D0D" w:themeColor="text1" w:themeTint="F2"/>
          <w:szCs w:val="21"/>
        </w:rPr>
        <w:t>绿色建筑评价结果汇总表</w:t>
      </w:r>
    </w:p>
    <w:tbl>
      <w:tblPr>
        <w:tblStyle w:val="a3"/>
        <w:tblW w:w="0" w:type="auto"/>
        <w:tblLook w:val="04A0" w:firstRow="1" w:lastRow="0" w:firstColumn="1" w:lastColumn="0" w:noHBand="0" w:noVBand="1"/>
      </w:tblPr>
      <w:tblGrid>
        <w:gridCol w:w="1280"/>
        <w:gridCol w:w="878"/>
        <w:gridCol w:w="2625"/>
        <w:gridCol w:w="1664"/>
        <w:gridCol w:w="1048"/>
        <w:gridCol w:w="844"/>
        <w:gridCol w:w="677"/>
      </w:tblGrid>
      <w:tr w:rsidR="00356770" w:rsidRPr="00356770" w14:paraId="7476D237" w14:textId="77777777">
        <w:tc>
          <w:tcPr>
            <w:tcW w:w="0" w:type="auto"/>
            <w:gridSpan w:val="2"/>
            <w:vAlign w:val="center"/>
          </w:tcPr>
          <w:p w14:paraId="07C0A09A"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控制</w:t>
            </w:r>
            <w:proofErr w:type="gramStart"/>
            <w:r w:rsidRPr="00356770">
              <w:rPr>
                <w:rFonts w:asciiTheme="majorEastAsia" w:eastAsiaTheme="majorEastAsia" w:hAnsiTheme="majorEastAsia" w:cstheme="majorEastAsia"/>
                <w:b/>
                <w:bCs/>
                <w:color w:val="0D0D0D" w:themeColor="text1" w:themeTint="F2"/>
                <w:szCs w:val="21"/>
              </w:rPr>
              <w:t>项评价</w:t>
            </w:r>
            <w:proofErr w:type="gramEnd"/>
            <w:r w:rsidRPr="00356770">
              <w:rPr>
                <w:rFonts w:asciiTheme="majorEastAsia" w:eastAsiaTheme="majorEastAsia" w:hAnsiTheme="majorEastAsia" w:cstheme="majorEastAsia"/>
                <w:b/>
                <w:bCs/>
                <w:color w:val="0D0D0D" w:themeColor="text1" w:themeTint="F2"/>
                <w:szCs w:val="21"/>
              </w:rPr>
              <w:t>汇总</w:t>
            </w:r>
          </w:p>
        </w:tc>
        <w:tc>
          <w:tcPr>
            <w:tcW w:w="0" w:type="auto"/>
            <w:gridSpan w:val="5"/>
            <w:vAlign w:val="center"/>
          </w:tcPr>
          <w:p w14:paraId="03DDF118"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评分</w:t>
            </w:r>
            <w:proofErr w:type="gramStart"/>
            <w:r w:rsidRPr="00356770">
              <w:rPr>
                <w:rFonts w:asciiTheme="majorEastAsia" w:eastAsiaTheme="majorEastAsia" w:hAnsiTheme="majorEastAsia" w:cstheme="majorEastAsia"/>
                <w:b/>
                <w:bCs/>
                <w:color w:val="0D0D0D" w:themeColor="text1" w:themeTint="F2"/>
                <w:szCs w:val="21"/>
              </w:rPr>
              <w:t>项评价</w:t>
            </w:r>
            <w:proofErr w:type="gramEnd"/>
            <w:r w:rsidRPr="00356770">
              <w:rPr>
                <w:rFonts w:asciiTheme="majorEastAsia" w:eastAsiaTheme="majorEastAsia" w:hAnsiTheme="majorEastAsia" w:cstheme="majorEastAsia"/>
                <w:b/>
                <w:bCs/>
                <w:color w:val="0D0D0D" w:themeColor="text1" w:themeTint="F2"/>
                <w:szCs w:val="21"/>
              </w:rPr>
              <w:t>汇总</w:t>
            </w:r>
          </w:p>
        </w:tc>
      </w:tr>
      <w:tr w:rsidR="00356770" w:rsidRPr="00356770" w14:paraId="231BF366" w14:textId="77777777" w:rsidTr="008A3D97">
        <w:tc>
          <w:tcPr>
            <w:tcW w:w="0" w:type="auto"/>
            <w:vMerge w:val="restart"/>
            <w:vAlign w:val="center"/>
          </w:tcPr>
          <w:p w14:paraId="0D6B74E2"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一级指标Q</w:t>
            </w:r>
            <w:r w:rsidRPr="00356770">
              <w:rPr>
                <w:rFonts w:asciiTheme="majorEastAsia" w:eastAsiaTheme="majorEastAsia" w:hAnsiTheme="majorEastAsia" w:cstheme="majorEastAsia" w:hint="eastAsia"/>
                <w:b/>
                <w:bCs/>
                <w:color w:val="0D0D0D" w:themeColor="text1" w:themeTint="F2"/>
                <w:sz w:val="15"/>
                <w:szCs w:val="15"/>
              </w:rPr>
              <w:t>0</w:t>
            </w:r>
          </w:p>
        </w:tc>
        <w:tc>
          <w:tcPr>
            <w:tcW w:w="0" w:type="auto"/>
            <w:vMerge w:val="restart"/>
            <w:vAlign w:val="center"/>
          </w:tcPr>
          <w:p w14:paraId="6E6FBA12"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proofErr w:type="gramStart"/>
            <w:r w:rsidRPr="00356770">
              <w:rPr>
                <w:rFonts w:asciiTheme="majorEastAsia" w:eastAsiaTheme="majorEastAsia" w:hAnsiTheme="majorEastAsia" w:cstheme="majorEastAsia" w:hint="eastAsia"/>
                <w:b/>
                <w:bCs/>
                <w:color w:val="0D0D0D" w:themeColor="text1" w:themeTint="F2"/>
                <w:szCs w:val="21"/>
              </w:rPr>
              <w:t>预评价</w:t>
            </w:r>
            <w:proofErr w:type="gramEnd"/>
          </w:p>
        </w:tc>
        <w:tc>
          <w:tcPr>
            <w:tcW w:w="2625" w:type="dxa"/>
            <w:vAlign w:val="center"/>
          </w:tcPr>
          <w:p w14:paraId="4F4238AD"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二级指标Q</w:t>
            </w:r>
            <w:r w:rsidRPr="00356770">
              <w:rPr>
                <w:rFonts w:asciiTheme="majorEastAsia" w:eastAsiaTheme="majorEastAsia" w:hAnsiTheme="majorEastAsia" w:cstheme="majorEastAsia" w:hint="eastAsia"/>
                <w:b/>
                <w:bCs/>
                <w:color w:val="0D0D0D" w:themeColor="text1" w:themeTint="F2"/>
                <w:sz w:val="15"/>
                <w:szCs w:val="15"/>
              </w:rPr>
              <w:t>1-5</w:t>
            </w:r>
          </w:p>
        </w:tc>
        <w:tc>
          <w:tcPr>
            <w:tcW w:w="4233" w:type="dxa"/>
            <w:gridSpan w:val="4"/>
            <w:vAlign w:val="center"/>
          </w:tcPr>
          <w:p w14:paraId="3A8533AB"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proofErr w:type="gramStart"/>
            <w:r w:rsidRPr="00356770">
              <w:rPr>
                <w:rFonts w:asciiTheme="majorEastAsia" w:eastAsiaTheme="majorEastAsia" w:hAnsiTheme="majorEastAsia" w:cstheme="majorEastAsia" w:hint="eastAsia"/>
                <w:b/>
                <w:bCs/>
                <w:color w:val="0D0D0D" w:themeColor="text1" w:themeTint="F2"/>
                <w:szCs w:val="21"/>
              </w:rPr>
              <w:t>预评价</w:t>
            </w:r>
            <w:proofErr w:type="gramEnd"/>
          </w:p>
        </w:tc>
      </w:tr>
      <w:tr w:rsidR="00356770" w:rsidRPr="00356770" w14:paraId="1AEA20C0" w14:textId="77777777" w:rsidTr="008A3D97">
        <w:tc>
          <w:tcPr>
            <w:tcW w:w="0" w:type="auto"/>
            <w:vMerge/>
            <w:vAlign w:val="center"/>
          </w:tcPr>
          <w:p w14:paraId="02556673" w14:textId="77777777" w:rsidR="000009FC" w:rsidRPr="00356770" w:rsidRDefault="000009FC">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21480DD0" w14:textId="77777777" w:rsidR="000009FC" w:rsidRPr="00356770" w:rsidRDefault="000009FC">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6446BBB4" w14:textId="24414175" w:rsidR="000009FC" w:rsidRPr="00356770" w:rsidRDefault="0059742B">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b/>
                <w:bCs/>
                <w:color w:val="0D0D0D" w:themeColor="text1" w:themeTint="F2"/>
                <w:szCs w:val="21"/>
              </w:rPr>
              <w:t>62</w:t>
            </w:r>
            <w:r w:rsidR="0095011E">
              <w:rPr>
                <w:rFonts w:asciiTheme="majorEastAsia" w:eastAsiaTheme="majorEastAsia" w:hAnsiTheme="majorEastAsia" w:cstheme="majorEastAsia"/>
                <w:b/>
                <w:bCs/>
                <w:color w:val="0D0D0D" w:themeColor="text1" w:themeTint="F2"/>
                <w:szCs w:val="21"/>
              </w:rPr>
              <w:t>0</w:t>
            </w:r>
          </w:p>
        </w:tc>
        <w:tc>
          <w:tcPr>
            <w:tcW w:w="2712" w:type="dxa"/>
            <w:gridSpan w:val="2"/>
            <w:vAlign w:val="center"/>
          </w:tcPr>
          <w:p w14:paraId="089BE2C1"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分值</w:t>
            </w:r>
          </w:p>
        </w:tc>
        <w:tc>
          <w:tcPr>
            <w:tcW w:w="1521" w:type="dxa"/>
            <w:gridSpan w:val="2"/>
            <w:vAlign w:val="center"/>
          </w:tcPr>
          <w:p w14:paraId="5F56AAFA"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得分</w:t>
            </w:r>
          </w:p>
        </w:tc>
      </w:tr>
      <w:tr w:rsidR="00356770" w:rsidRPr="00B343CF" w14:paraId="73189DB8" w14:textId="77777777" w:rsidTr="008A3D97">
        <w:tc>
          <w:tcPr>
            <w:tcW w:w="0" w:type="auto"/>
            <w:vMerge w:val="restart"/>
            <w:vAlign w:val="center"/>
          </w:tcPr>
          <w:p w14:paraId="22F716C1"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安全耐久</w:t>
            </w:r>
          </w:p>
        </w:tc>
        <w:tc>
          <w:tcPr>
            <w:tcW w:w="0" w:type="auto"/>
            <w:vMerge w:val="restart"/>
            <w:vAlign w:val="center"/>
          </w:tcPr>
          <w:p w14:paraId="7C30BC02" w14:textId="6259B306" w:rsidR="000009FC" w:rsidRPr="00356770" w:rsidRDefault="00E0310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 w:val="13"/>
                <w:szCs w:val="13"/>
              </w:rPr>
              <w:t>满足</w:t>
            </w:r>
          </w:p>
        </w:tc>
        <w:tc>
          <w:tcPr>
            <w:tcW w:w="2625" w:type="dxa"/>
            <w:vAlign w:val="center"/>
          </w:tcPr>
          <w:p w14:paraId="74A98705"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proofErr w:type="gramStart"/>
            <w:r w:rsidRPr="00356770">
              <w:rPr>
                <w:rFonts w:asciiTheme="majorEastAsia" w:eastAsiaTheme="majorEastAsia" w:hAnsiTheme="majorEastAsia" w:cstheme="majorEastAsia"/>
                <w:b/>
                <w:bCs/>
                <w:color w:val="0D0D0D" w:themeColor="text1" w:themeTint="F2"/>
                <w:szCs w:val="21"/>
              </w:rPr>
              <w:t>Ⅰ</w:t>
            </w:r>
            <w:r w:rsidRPr="00356770">
              <w:rPr>
                <w:rFonts w:asciiTheme="majorEastAsia" w:eastAsiaTheme="majorEastAsia" w:hAnsiTheme="majorEastAsia" w:cstheme="majorEastAsia" w:hint="eastAsia"/>
                <w:b/>
                <w:bCs/>
                <w:color w:val="0D0D0D" w:themeColor="text1" w:themeTint="F2"/>
                <w:szCs w:val="21"/>
              </w:rPr>
              <w:t>安全</w:t>
            </w:r>
            <w:proofErr w:type="gramEnd"/>
          </w:p>
        </w:tc>
        <w:tc>
          <w:tcPr>
            <w:tcW w:w="1664" w:type="dxa"/>
            <w:vAlign w:val="center"/>
          </w:tcPr>
          <w:p w14:paraId="26ADB30B" w14:textId="04F8BD87" w:rsidR="000009FC" w:rsidRPr="00356770" w:rsidRDefault="0059742B">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r>
              <w:rPr>
                <w:rFonts w:asciiTheme="majorEastAsia" w:eastAsiaTheme="majorEastAsia" w:hAnsiTheme="majorEastAsia" w:cstheme="majorEastAsia"/>
                <w:b/>
                <w:bCs/>
                <w:color w:val="0D0D0D" w:themeColor="text1" w:themeTint="F2"/>
                <w:szCs w:val="21"/>
              </w:rPr>
              <w:t>3</w:t>
            </w:r>
          </w:p>
        </w:tc>
        <w:tc>
          <w:tcPr>
            <w:tcW w:w="1048" w:type="dxa"/>
            <w:vMerge w:val="restart"/>
            <w:vAlign w:val="center"/>
          </w:tcPr>
          <w:p w14:paraId="70BA79F2" w14:textId="77777777" w:rsidR="000009FC" w:rsidRPr="00356770" w:rsidRDefault="00943DD9">
            <w:pPr>
              <w:jc w:val="center"/>
              <w:rPr>
                <w:rFonts w:asciiTheme="majorEastAsia" w:eastAsiaTheme="majorEastAsia" w:hAnsiTheme="majorEastAsia" w:cstheme="majorEastAsia"/>
                <w:b/>
                <w:bCs/>
                <w:color w:val="0D0D0D" w:themeColor="text1" w:themeTint="F2"/>
                <w:sz w:val="15"/>
                <w:szCs w:val="15"/>
              </w:rPr>
            </w:pP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1</w:t>
            </w:r>
          </w:p>
          <w:p w14:paraId="3CE527A9"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100</w:t>
            </w:r>
          </w:p>
        </w:tc>
        <w:tc>
          <w:tcPr>
            <w:tcW w:w="844" w:type="dxa"/>
            <w:vAlign w:val="center"/>
          </w:tcPr>
          <w:p w14:paraId="3E2F43DA" w14:textId="06C9B29A" w:rsidR="000009FC" w:rsidRPr="00356770" w:rsidRDefault="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3</w:t>
            </w:r>
            <w:r>
              <w:rPr>
                <w:rFonts w:asciiTheme="majorEastAsia" w:eastAsiaTheme="majorEastAsia" w:hAnsiTheme="majorEastAsia" w:cstheme="majorEastAsia"/>
                <w:b/>
                <w:bCs/>
                <w:color w:val="0D0D0D" w:themeColor="text1" w:themeTint="F2"/>
                <w:szCs w:val="21"/>
              </w:rPr>
              <w:t>5</w:t>
            </w:r>
          </w:p>
        </w:tc>
        <w:tc>
          <w:tcPr>
            <w:tcW w:w="0" w:type="auto"/>
            <w:vMerge w:val="restart"/>
            <w:vAlign w:val="center"/>
          </w:tcPr>
          <w:p w14:paraId="364AEAA5" w14:textId="1F8ACEBE" w:rsidR="000009FC" w:rsidRPr="00B343CF" w:rsidRDefault="00B343CF">
            <w:pPr>
              <w:jc w:val="center"/>
              <w:rPr>
                <w:rFonts w:asciiTheme="majorEastAsia" w:eastAsiaTheme="majorEastAsia" w:hAnsiTheme="majorEastAsia" w:cstheme="majorEastAsia"/>
                <w:b/>
                <w:bCs/>
                <w:color w:val="0D0D0D" w:themeColor="text1" w:themeTint="F2"/>
                <w:szCs w:val="21"/>
              </w:rPr>
            </w:pPr>
            <w:r w:rsidRPr="00B343CF">
              <w:rPr>
                <w:rFonts w:asciiTheme="majorEastAsia" w:eastAsiaTheme="majorEastAsia" w:hAnsiTheme="majorEastAsia" w:cstheme="majorEastAsia" w:hint="eastAsia"/>
                <w:b/>
                <w:bCs/>
                <w:color w:val="0D0D0D" w:themeColor="text1" w:themeTint="F2"/>
                <w:szCs w:val="21"/>
              </w:rPr>
              <w:t>7</w:t>
            </w:r>
            <w:r w:rsidRPr="00B343CF">
              <w:rPr>
                <w:rFonts w:asciiTheme="majorEastAsia" w:eastAsiaTheme="majorEastAsia" w:hAnsiTheme="majorEastAsia" w:cstheme="majorEastAsia"/>
                <w:b/>
                <w:bCs/>
                <w:color w:val="0D0D0D" w:themeColor="text1" w:themeTint="F2"/>
                <w:szCs w:val="21"/>
              </w:rPr>
              <w:t>3</w:t>
            </w:r>
          </w:p>
        </w:tc>
      </w:tr>
      <w:tr w:rsidR="00356770" w:rsidRPr="00356770" w14:paraId="732D2DFA" w14:textId="77777777" w:rsidTr="008A3D97">
        <w:tc>
          <w:tcPr>
            <w:tcW w:w="0" w:type="auto"/>
            <w:vMerge/>
            <w:vAlign w:val="center"/>
          </w:tcPr>
          <w:p w14:paraId="12679D9F" w14:textId="77777777" w:rsidR="000009FC" w:rsidRPr="00356770" w:rsidRDefault="000009FC">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2C16A751" w14:textId="77777777" w:rsidR="000009FC" w:rsidRPr="00356770" w:rsidRDefault="000009FC">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7C1D9DFF" w14:textId="77777777" w:rsidR="000009FC" w:rsidRPr="00356770" w:rsidRDefault="00943DD9">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Ⅱ</w:t>
            </w:r>
            <w:r w:rsidRPr="00356770">
              <w:rPr>
                <w:rFonts w:asciiTheme="majorEastAsia" w:eastAsiaTheme="majorEastAsia" w:hAnsiTheme="majorEastAsia" w:cstheme="majorEastAsia" w:hint="eastAsia"/>
                <w:b/>
                <w:bCs/>
                <w:color w:val="0D0D0D" w:themeColor="text1" w:themeTint="F2"/>
                <w:szCs w:val="21"/>
              </w:rPr>
              <w:t>耐久</w:t>
            </w:r>
          </w:p>
        </w:tc>
        <w:tc>
          <w:tcPr>
            <w:tcW w:w="1664" w:type="dxa"/>
            <w:vAlign w:val="center"/>
          </w:tcPr>
          <w:p w14:paraId="17433C18" w14:textId="651E738F" w:rsidR="000009FC" w:rsidRPr="00356770" w:rsidRDefault="0059742B">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4</w:t>
            </w:r>
            <w:r>
              <w:rPr>
                <w:rFonts w:asciiTheme="majorEastAsia" w:eastAsiaTheme="majorEastAsia" w:hAnsiTheme="majorEastAsia" w:cstheme="majorEastAsia"/>
                <w:b/>
                <w:bCs/>
                <w:color w:val="0D0D0D" w:themeColor="text1" w:themeTint="F2"/>
                <w:szCs w:val="21"/>
              </w:rPr>
              <w:t>7</w:t>
            </w:r>
          </w:p>
        </w:tc>
        <w:tc>
          <w:tcPr>
            <w:tcW w:w="1048" w:type="dxa"/>
            <w:vMerge/>
            <w:vAlign w:val="center"/>
          </w:tcPr>
          <w:p w14:paraId="09653352" w14:textId="77777777" w:rsidR="000009FC" w:rsidRPr="00356770" w:rsidRDefault="000009FC">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0A6E9906" w14:textId="0D51AF65" w:rsidR="000009FC" w:rsidRPr="00356770" w:rsidRDefault="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b/>
                <w:bCs/>
                <w:color w:val="0D0D0D" w:themeColor="text1" w:themeTint="F2"/>
                <w:szCs w:val="21"/>
              </w:rPr>
              <w:t>3</w:t>
            </w:r>
            <w:r>
              <w:rPr>
                <w:rFonts w:asciiTheme="majorEastAsia" w:eastAsiaTheme="majorEastAsia" w:hAnsiTheme="majorEastAsia" w:cstheme="majorEastAsia" w:hint="eastAsia"/>
                <w:b/>
                <w:bCs/>
                <w:color w:val="0D0D0D" w:themeColor="text1" w:themeTint="F2"/>
                <w:szCs w:val="21"/>
              </w:rPr>
              <w:t>8</w:t>
            </w:r>
          </w:p>
        </w:tc>
        <w:tc>
          <w:tcPr>
            <w:tcW w:w="0" w:type="auto"/>
            <w:vMerge/>
            <w:vAlign w:val="center"/>
          </w:tcPr>
          <w:p w14:paraId="4FF1328D" w14:textId="77777777" w:rsidR="000009FC" w:rsidRPr="00356770" w:rsidRDefault="000009FC">
            <w:pPr>
              <w:jc w:val="center"/>
              <w:rPr>
                <w:rFonts w:asciiTheme="majorEastAsia" w:eastAsiaTheme="majorEastAsia" w:hAnsiTheme="majorEastAsia" w:cstheme="majorEastAsia"/>
                <w:b/>
                <w:bCs/>
                <w:color w:val="0D0D0D" w:themeColor="text1" w:themeTint="F2"/>
                <w:szCs w:val="21"/>
              </w:rPr>
            </w:pPr>
          </w:p>
        </w:tc>
      </w:tr>
      <w:tr w:rsidR="008A3D97" w:rsidRPr="00356770" w14:paraId="29AF4778" w14:textId="77777777" w:rsidTr="008A3D97">
        <w:tc>
          <w:tcPr>
            <w:tcW w:w="0" w:type="auto"/>
            <w:vMerge w:val="restart"/>
            <w:vAlign w:val="center"/>
          </w:tcPr>
          <w:p w14:paraId="2749B919"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健康舒适</w:t>
            </w:r>
          </w:p>
        </w:tc>
        <w:tc>
          <w:tcPr>
            <w:tcW w:w="0" w:type="auto"/>
            <w:vMerge w:val="restart"/>
            <w:vAlign w:val="center"/>
          </w:tcPr>
          <w:p w14:paraId="524EAF80" w14:textId="4124ABD9"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 w:val="13"/>
                <w:szCs w:val="13"/>
              </w:rPr>
              <w:t>满足</w:t>
            </w:r>
          </w:p>
        </w:tc>
        <w:tc>
          <w:tcPr>
            <w:tcW w:w="2625" w:type="dxa"/>
            <w:vAlign w:val="center"/>
          </w:tcPr>
          <w:p w14:paraId="2FAF9CE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Ⅰ</w:t>
            </w:r>
            <w:r w:rsidRPr="00356770">
              <w:rPr>
                <w:rFonts w:asciiTheme="majorEastAsia" w:eastAsiaTheme="majorEastAsia" w:hAnsiTheme="majorEastAsia" w:cstheme="majorEastAsia" w:hint="eastAsia"/>
                <w:b/>
                <w:bCs/>
                <w:color w:val="0D0D0D" w:themeColor="text1" w:themeTint="F2"/>
                <w:szCs w:val="21"/>
              </w:rPr>
              <w:t>室内空气品质</w:t>
            </w:r>
          </w:p>
        </w:tc>
        <w:tc>
          <w:tcPr>
            <w:tcW w:w="1664" w:type="dxa"/>
            <w:vAlign w:val="center"/>
          </w:tcPr>
          <w:p w14:paraId="7F23878F" w14:textId="3C4292AC"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0</w:t>
            </w:r>
          </w:p>
        </w:tc>
        <w:tc>
          <w:tcPr>
            <w:tcW w:w="1048" w:type="dxa"/>
            <w:vMerge w:val="restart"/>
            <w:vAlign w:val="center"/>
          </w:tcPr>
          <w:p w14:paraId="11146EE4"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 w:val="15"/>
                <w:szCs w:val="15"/>
              </w:rPr>
            </w:pP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2</w:t>
            </w:r>
          </w:p>
          <w:p w14:paraId="57EED0B5"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100</w:t>
            </w:r>
          </w:p>
        </w:tc>
        <w:tc>
          <w:tcPr>
            <w:tcW w:w="844" w:type="dxa"/>
            <w:vAlign w:val="center"/>
          </w:tcPr>
          <w:p w14:paraId="7FC98C36" w14:textId="6D0CC970"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0</w:t>
            </w:r>
          </w:p>
        </w:tc>
        <w:tc>
          <w:tcPr>
            <w:tcW w:w="0" w:type="auto"/>
            <w:vMerge w:val="restart"/>
            <w:vAlign w:val="center"/>
          </w:tcPr>
          <w:p w14:paraId="7214F95D" w14:textId="05559E2F"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7</w:t>
            </w:r>
            <w:r>
              <w:rPr>
                <w:rFonts w:asciiTheme="majorEastAsia" w:eastAsiaTheme="majorEastAsia" w:hAnsiTheme="majorEastAsia" w:cstheme="majorEastAsia"/>
                <w:b/>
                <w:bCs/>
                <w:color w:val="0D0D0D" w:themeColor="text1" w:themeTint="F2"/>
                <w:szCs w:val="21"/>
              </w:rPr>
              <w:t>3</w:t>
            </w:r>
          </w:p>
        </w:tc>
      </w:tr>
      <w:tr w:rsidR="008A3D97" w:rsidRPr="00356770" w14:paraId="2D99C01E" w14:textId="77777777" w:rsidTr="008A3D97">
        <w:tc>
          <w:tcPr>
            <w:tcW w:w="0" w:type="auto"/>
            <w:vMerge/>
            <w:vAlign w:val="center"/>
          </w:tcPr>
          <w:p w14:paraId="4455829D"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1F808778"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20D9D68B"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Ⅱ</w:t>
            </w:r>
            <w:r w:rsidRPr="00356770">
              <w:rPr>
                <w:rFonts w:asciiTheme="majorEastAsia" w:eastAsiaTheme="majorEastAsia" w:hAnsiTheme="majorEastAsia" w:cstheme="majorEastAsia" w:hint="eastAsia"/>
                <w:b/>
                <w:bCs/>
                <w:color w:val="0D0D0D" w:themeColor="text1" w:themeTint="F2"/>
                <w:szCs w:val="21"/>
              </w:rPr>
              <w:t>水质</w:t>
            </w:r>
          </w:p>
        </w:tc>
        <w:tc>
          <w:tcPr>
            <w:tcW w:w="1664" w:type="dxa"/>
            <w:vAlign w:val="center"/>
          </w:tcPr>
          <w:p w14:paraId="60086511" w14:textId="185D3EEA"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5</w:t>
            </w:r>
          </w:p>
        </w:tc>
        <w:tc>
          <w:tcPr>
            <w:tcW w:w="1048" w:type="dxa"/>
            <w:vMerge/>
            <w:vAlign w:val="center"/>
          </w:tcPr>
          <w:p w14:paraId="3D1A1D76"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2DE8FB01" w14:textId="1E98CA72"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5</w:t>
            </w:r>
          </w:p>
        </w:tc>
        <w:tc>
          <w:tcPr>
            <w:tcW w:w="0" w:type="auto"/>
            <w:vMerge/>
            <w:vAlign w:val="center"/>
          </w:tcPr>
          <w:p w14:paraId="5DF2259C"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6DBC0436" w14:textId="77777777" w:rsidTr="008A3D97">
        <w:tc>
          <w:tcPr>
            <w:tcW w:w="0" w:type="auto"/>
            <w:vMerge/>
            <w:vAlign w:val="center"/>
          </w:tcPr>
          <w:p w14:paraId="7E6C0EB2"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127CADA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541F14EB"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Ⅲ</w:t>
            </w:r>
            <w:r w:rsidRPr="00356770">
              <w:rPr>
                <w:rFonts w:asciiTheme="majorEastAsia" w:eastAsiaTheme="majorEastAsia" w:hAnsiTheme="majorEastAsia" w:cstheme="majorEastAsia" w:hint="eastAsia"/>
                <w:b/>
                <w:bCs/>
                <w:color w:val="0D0D0D" w:themeColor="text1" w:themeTint="F2"/>
                <w:szCs w:val="21"/>
              </w:rPr>
              <w:t>声环境与光环境</w:t>
            </w:r>
          </w:p>
        </w:tc>
        <w:tc>
          <w:tcPr>
            <w:tcW w:w="1664" w:type="dxa"/>
            <w:vAlign w:val="center"/>
          </w:tcPr>
          <w:p w14:paraId="4772641F" w14:textId="4C034EED"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5</w:t>
            </w:r>
          </w:p>
        </w:tc>
        <w:tc>
          <w:tcPr>
            <w:tcW w:w="1048" w:type="dxa"/>
            <w:vMerge/>
            <w:vAlign w:val="center"/>
          </w:tcPr>
          <w:p w14:paraId="0A77D08F"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3188A284" w14:textId="669B3B86"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3</w:t>
            </w:r>
          </w:p>
        </w:tc>
        <w:tc>
          <w:tcPr>
            <w:tcW w:w="0" w:type="auto"/>
            <w:vMerge/>
            <w:vAlign w:val="center"/>
          </w:tcPr>
          <w:p w14:paraId="61CF6E01"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3403F759" w14:textId="77777777" w:rsidTr="008A3D97">
        <w:tc>
          <w:tcPr>
            <w:tcW w:w="0" w:type="auto"/>
            <w:vMerge/>
            <w:vAlign w:val="center"/>
          </w:tcPr>
          <w:p w14:paraId="60FA8260"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05689956"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18CF2068"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Ⅳ</w:t>
            </w:r>
            <w:r w:rsidRPr="00356770">
              <w:rPr>
                <w:rFonts w:asciiTheme="majorEastAsia" w:eastAsiaTheme="majorEastAsia" w:hAnsiTheme="majorEastAsia" w:cstheme="majorEastAsia" w:hint="eastAsia"/>
                <w:b/>
                <w:bCs/>
                <w:color w:val="0D0D0D" w:themeColor="text1" w:themeTint="F2"/>
                <w:szCs w:val="21"/>
              </w:rPr>
              <w:t>室内热湿环境</w:t>
            </w:r>
          </w:p>
        </w:tc>
        <w:tc>
          <w:tcPr>
            <w:tcW w:w="1664" w:type="dxa"/>
            <w:vAlign w:val="center"/>
          </w:tcPr>
          <w:p w14:paraId="5D1AF70B" w14:textId="3974E6D0"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b/>
                <w:bCs/>
                <w:color w:val="0D0D0D" w:themeColor="text1" w:themeTint="F2"/>
                <w:szCs w:val="21"/>
              </w:rPr>
              <w:t>25</w:t>
            </w:r>
          </w:p>
        </w:tc>
        <w:tc>
          <w:tcPr>
            <w:tcW w:w="1048" w:type="dxa"/>
            <w:vMerge/>
            <w:vAlign w:val="center"/>
          </w:tcPr>
          <w:p w14:paraId="6E8442D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63058793" w14:textId="6C4761CA"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p>
        </w:tc>
        <w:tc>
          <w:tcPr>
            <w:tcW w:w="0" w:type="auto"/>
            <w:vMerge/>
            <w:vAlign w:val="center"/>
          </w:tcPr>
          <w:p w14:paraId="662EFF45"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4BE359D3" w14:textId="77777777" w:rsidTr="008A3D97">
        <w:tc>
          <w:tcPr>
            <w:tcW w:w="0" w:type="auto"/>
            <w:vMerge w:val="restart"/>
            <w:vAlign w:val="center"/>
          </w:tcPr>
          <w:p w14:paraId="1734DFC9"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生活便利</w:t>
            </w:r>
          </w:p>
        </w:tc>
        <w:tc>
          <w:tcPr>
            <w:tcW w:w="0" w:type="auto"/>
            <w:vMerge w:val="restart"/>
            <w:vAlign w:val="center"/>
          </w:tcPr>
          <w:p w14:paraId="6279DC50" w14:textId="3D5F26F3"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 w:val="13"/>
                <w:szCs w:val="13"/>
              </w:rPr>
              <w:t>满足</w:t>
            </w:r>
          </w:p>
        </w:tc>
        <w:tc>
          <w:tcPr>
            <w:tcW w:w="2625" w:type="dxa"/>
            <w:vAlign w:val="center"/>
          </w:tcPr>
          <w:p w14:paraId="7805CF09"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Ⅰ</w:t>
            </w:r>
            <w:r w:rsidRPr="00356770">
              <w:rPr>
                <w:rFonts w:asciiTheme="majorEastAsia" w:eastAsiaTheme="majorEastAsia" w:hAnsiTheme="majorEastAsia" w:cstheme="majorEastAsia" w:hint="eastAsia"/>
                <w:b/>
                <w:bCs/>
                <w:color w:val="0D0D0D" w:themeColor="text1" w:themeTint="F2"/>
                <w:szCs w:val="21"/>
              </w:rPr>
              <w:t>出行便利与无障碍</w:t>
            </w:r>
          </w:p>
        </w:tc>
        <w:tc>
          <w:tcPr>
            <w:tcW w:w="1664" w:type="dxa"/>
            <w:vAlign w:val="center"/>
          </w:tcPr>
          <w:p w14:paraId="11E494A4" w14:textId="4E51E18F" w:rsidR="008A3D97" w:rsidRPr="00356770" w:rsidRDefault="00CF7E13"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1</w:t>
            </w:r>
            <w:r>
              <w:rPr>
                <w:rFonts w:asciiTheme="majorEastAsia" w:eastAsiaTheme="majorEastAsia" w:hAnsiTheme="majorEastAsia" w:cstheme="majorEastAsia"/>
                <w:b/>
                <w:bCs/>
                <w:color w:val="0D0D0D" w:themeColor="text1" w:themeTint="F2"/>
                <w:szCs w:val="21"/>
              </w:rPr>
              <w:t>6</w:t>
            </w:r>
          </w:p>
        </w:tc>
        <w:tc>
          <w:tcPr>
            <w:tcW w:w="1048" w:type="dxa"/>
            <w:vMerge w:val="restart"/>
            <w:vAlign w:val="center"/>
          </w:tcPr>
          <w:p w14:paraId="09272189"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 w:val="15"/>
                <w:szCs w:val="15"/>
              </w:rPr>
            </w:pP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3</w:t>
            </w:r>
          </w:p>
          <w:p w14:paraId="3D3E42F6" w14:textId="2DA2367F"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b/>
                <w:bCs/>
                <w:color w:val="0D0D0D" w:themeColor="text1" w:themeTint="F2"/>
                <w:szCs w:val="21"/>
              </w:rPr>
              <w:t>100</w:t>
            </w:r>
          </w:p>
        </w:tc>
        <w:tc>
          <w:tcPr>
            <w:tcW w:w="844" w:type="dxa"/>
            <w:vAlign w:val="center"/>
          </w:tcPr>
          <w:p w14:paraId="189BA811" w14:textId="097F619F"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4</w:t>
            </w:r>
          </w:p>
        </w:tc>
        <w:tc>
          <w:tcPr>
            <w:tcW w:w="0" w:type="auto"/>
            <w:vMerge w:val="restart"/>
            <w:vAlign w:val="center"/>
          </w:tcPr>
          <w:p w14:paraId="268B5FB5" w14:textId="63C88D72"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b/>
                <w:bCs/>
                <w:color w:val="0D0D0D" w:themeColor="text1" w:themeTint="F2"/>
                <w:szCs w:val="21"/>
              </w:rPr>
              <w:t>71</w:t>
            </w:r>
          </w:p>
        </w:tc>
      </w:tr>
      <w:tr w:rsidR="008A3D97" w:rsidRPr="00356770" w14:paraId="78BAF819" w14:textId="77777777" w:rsidTr="008A3D97">
        <w:tc>
          <w:tcPr>
            <w:tcW w:w="0" w:type="auto"/>
            <w:vMerge/>
            <w:vAlign w:val="center"/>
          </w:tcPr>
          <w:p w14:paraId="6BF9E0E5"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6C35AAF3"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61EC0C8F"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roofErr w:type="gramStart"/>
            <w:r w:rsidRPr="00356770">
              <w:rPr>
                <w:rFonts w:asciiTheme="majorEastAsia" w:eastAsiaTheme="majorEastAsia" w:hAnsiTheme="majorEastAsia" w:cstheme="majorEastAsia"/>
                <w:b/>
                <w:bCs/>
                <w:color w:val="0D0D0D" w:themeColor="text1" w:themeTint="F2"/>
                <w:szCs w:val="21"/>
              </w:rPr>
              <w:t>Ⅱ</w:t>
            </w:r>
            <w:r w:rsidRPr="00356770">
              <w:rPr>
                <w:rFonts w:asciiTheme="majorEastAsia" w:eastAsiaTheme="majorEastAsia" w:hAnsiTheme="majorEastAsia" w:cstheme="majorEastAsia" w:hint="eastAsia"/>
                <w:b/>
                <w:bCs/>
                <w:color w:val="0D0D0D" w:themeColor="text1" w:themeTint="F2"/>
                <w:szCs w:val="21"/>
              </w:rPr>
              <w:t>服务</w:t>
            </w:r>
            <w:proofErr w:type="gramEnd"/>
            <w:r w:rsidRPr="00356770">
              <w:rPr>
                <w:rFonts w:asciiTheme="majorEastAsia" w:eastAsiaTheme="majorEastAsia" w:hAnsiTheme="majorEastAsia" w:cstheme="majorEastAsia" w:hint="eastAsia"/>
                <w:b/>
                <w:bCs/>
                <w:color w:val="0D0D0D" w:themeColor="text1" w:themeTint="F2"/>
                <w:szCs w:val="21"/>
              </w:rPr>
              <w:t>设施</w:t>
            </w:r>
          </w:p>
        </w:tc>
        <w:tc>
          <w:tcPr>
            <w:tcW w:w="1664" w:type="dxa"/>
            <w:vAlign w:val="center"/>
          </w:tcPr>
          <w:p w14:paraId="37AAB386" w14:textId="5D9B0A89" w:rsidR="008A3D97" w:rsidRPr="00356770" w:rsidRDefault="00CF7E13"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5</w:t>
            </w:r>
          </w:p>
        </w:tc>
        <w:tc>
          <w:tcPr>
            <w:tcW w:w="1048" w:type="dxa"/>
            <w:vMerge/>
            <w:vAlign w:val="center"/>
          </w:tcPr>
          <w:p w14:paraId="2AB5F2E6"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21342584" w14:textId="76D0BF24"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1</w:t>
            </w:r>
            <w:r>
              <w:rPr>
                <w:rFonts w:asciiTheme="majorEastAsia" w:eastAsiaTheme="majorEastAsia" w:hAnsiTheme="majorEastAsia" w:cstheme="majorEastAsia"/>
                <w:b/>
                <w:bCs/>
                <w:color w:val="0D0D0D" w:themeColor="text1" w:themeTint="F2"/>
                <w:szCs w:val="21"/>
              </w:rPr>
              <w:t>8</w:t>
            </w:r>
          </w:p>
        </w:tc>
        <w:tc>
          <w:tcPr>
            <w:tcW w:w="0" w:type="auto"/>
            <w:vMerge/>
            <w:vAlign w:val="center"/>
          </w:tcPr>
          <w:p w14:paraId="68900920"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4FD9E06A" w14:textId="77777777" w:rsidTr="008A3D97">
        <w:tc>
          <w:tcPr>
            <w:tcW w:w="0" w:type="auto"/>
            <w:vMerge/>
            <w:vAlign w:val="center"/>
          </w:tcPr>
          <w:p w14:paraId="37CCD15E"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4788C768"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6556CCD3"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Ⅲ</w:t>
            </w:r>
            <w:r w:rsidRPr="00356770">
              <w:rPr>
                <w:rFonts w:asciiTheme="majorEastAsia" w:eastAsiaTheme="majorEastAsia" w:hAnsiTheme="majorEastAsia" w:cstheme="majorEastAsia" w:hint="eastAsia"/>
                <w:b/>
                <w:bCs/>
                <w:color w:val="0D0D0D" w:themeColor="text1" w:themeTint="F2"/>
                <w:szCs w:val="21"/>
              </w:rPr>
              <w:t>智慧运行</w:t>
            </w:r>
          </w:p>
        </w:tc>
        <w:tc>
          <w:tcPr>
            <w:tcW w:w="1664" w:type="dxa"/>
            <w:vAlign w:val="center"/>
          </w:tcPr>
          <w:p w14:paraId="4DFCB802" w14:textId="58FD645B" w:rsidR="008A3D97" w:rsidRPr="00356770" w:rsidRDefault="00CF7E13"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9</w:t>
            </w:r>
          </w:p>
        </w:tc>
        <w:tc>
          <w:tcPr>
            <w:tcW w:w="1048" w:type="dxa"/>
            <w:vMerge/>
            <w:vAlign w:val="center"/>
          </w:tcPr>
          <w:p w14:paraId="732BFA24"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792839FA" w14:textId="4141B2A0"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9</w:t>
            </w:r>
          </w:p>
        </w:tc>
        <w:tc>
          <w:tcPr>
            <w:tcW w:w="0" w:type="auto"/>
            <w:vMerge/>
            <w:vAlign w:val="center"/>
          </w:tcPr>
          <w:p w14:paraId="17451240"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0D32C8C6" w14:textId="77777777" w:rsidTr="008A3D97">
        <w:tc>
          <w:tcPr>
            <w:tcW w:w="0" w:type="auto"/>
            <w:vMerge/>
            <w:vAlign w:val="center"/>
          </w:tcPr>
          <w:p w14:paraId="74832110"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65986BDB"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236E92F1"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Ⅳ</w:t>
            </w:r>
            <w:r w:rsidRPr="00356770">
              <w:rPr>
                <w:rFonts w:asciiTheme="majorEastAsia" w:eastAsiaTheme="majorEastAsia" w:hAnsiTheme="majorEastAsia" w:cstheme="majorEastAsia" w:hint="eastAsia"/>
                <w:b/>
                <w:bCs/>
                <w:color w:val="0D0D0D" w:themeColor="text1" w:themeTint="F2"/>
                <w:szCs w:val="21"/>
              </w:rPr>
              <w:t>物业管理</w:t>
            </w:r>
          </w:p>
        </w:tc>
        <w:tc>
          <w:tcPr>
            <w:tcW w:w="1664" w:type="dxa"/>
            <w:vAlign w:val="center"/>
          </w:tcPr>
          <w:p w14:paraId="6407EDFB" w14:textId="4A33AF4B" w:rsidR="008A3D97" w:rsidRPr="00356770" w:rsidRDefault="00CF7E13"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b/>
                <w:bCs/>
                <w:color w:val="0D0D0D" w:themeColor="text1" w:themeTint="F2"/>
                <w:szCs w:val="21"/>
              </w:rPr>
              <w:t>3</w:t>
            </w:r>
            <w:r w:rsidR="0059742B">
              <w:rPr>
                <w:rFonts w:asciiTheme="majorEastAsia" w:eastAsiaTheme="majorEastAsia" w:hAnsiTheme="majorEastAsia" w:cstheme="majorEastAsia"/>
                <w:b/>
                <w:bCs/>
                <w:color w:val="0D0D0D" w:themeColor="text1" w:themeTint="F2"/>
                <w:szCs w:val="21"/>
              </w:rPr>
              <w:t>0</w:t>
            </w:r>
          </w:p>
        </w:tc>
        <w:tc>
          <w:tcPr>
            <w:tcW w:w="1048" w:type="dxa"/>
            <w:vMerge/>
            <w:vAlign w:val="center"/>
          </w:tcPr>
          <w:p w14:paraId="1F41AC7F"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358356B5" w14:textId="106E895B"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8</w:t>
            </w:r>
          </w:p>
        </w:tc>
        <w:tc>
          <w:tcPr>
            <w:tcW w:w="0" w:type="auto"/>
            <w:vMerge/>
            <w:vAlign w:val="center"/>
          </w:tcPr>
          <w:p w14:paraId="0AA23E0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7F9AC72A" w14:textId="77777777" w:rsidTr="008A3D97">
        <w:tc>
          <w:tcPr>
            <w:tcW w:w="0" w:type="auto"/>
            <w:vMerge w:val="restart"/>
            <w:vAlign w:val="center"/>
          </w:tcPr>
          <w:p w14:paraId="704CFDD0"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资源节约</w:t>
            </w:r>
          </w:p>
        </w:tc>
        <w:tc>
          <w:tcPr>
            <w:tcW w:w="0" w:type="auto"/>
            <w:vMerge w:val="restart"/>
            <w:vAlign w:val="center"/>
          </w:tcPr>
          <w:p w14:paraId="54B20302" w14:textId="0666150B"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 w:val="13"/>
                <w:szCs w:val="13"/>
              </w:rPr>
              <w:t>满足</w:t>
            </w:r>
          </w:p>
        </w:tc>
        <w:tc>
          <w:tcPr>
            <w:tcW w:w="2625" w:type="dxa"/>
            <w:vAlign w:val="center"/>
          </w:tcPr>
          <w:p w14:paraId="4C2A33AD"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Ⅰ</w:t>
            </w:r>
            <w:r w:rsidRPr="00356770">
              <w:rPr>
                <w:rFonts w:asciiTheme="majorEastAsia" w:eastAsiaTheme="majorEastAsia" w:hAnsiTheme="majorEastAsia" w:cstheme="majorEastAsia" w:hint="eastAsia"/>
                <w:b/>
                <w:bCs/>
                <w:color w:val="0D0D0D" w:themeColor="text1" w:themeTint="F2"/>
                <w:szCs w:val="21"/>
              </w:rPr>
              <w:t>节地与土地利用</w:t>
            </w:r>
          </w:p>
        </w:tc>
        <w:tc>
          <w:tcPr>
            <w:tcW w:w="1664" w:type="dxa"/>
            <w:vAlign w:val="center"/>
          </w:tcPr>
          <w:p w14:paraId="0A0D466C" w14:textId="148B6E0A"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6</w:t>
            </w:r>
            <w:r>
              <w:rPr>
                <w:rFonts w:asciiTheme="majorEastAsia" w:eastAsiaTheme="majorEastAsia" w:hAnsiTheme="majorEastAsia" w:cstheme="majorEastAsia"/>
                <w:b/>
                <w:bCs/>
                <w:color w:val="0D0D0D" w:themeColor="text1" w:themeTint="F2"/>
                <w:szCs w:val="21"/>
              </w:rPr>
              <w:t>0</w:t>
            </w:r>
          </w:p>
        </w:tc>
        <w:tc>
          <w:tcPr>
            <w:tcW w:w="1048" w:type="dxa"/>
            <w:vMerge w:val="restart"/>
            <w:vAlign w:val="center"/>
          </w:tcPr>
          <w:p w14:paraId="3A535728"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 w:val="15"/>
                <w:szCs w:val="15"/>
              </w:rPr>
            </w:pP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4</w:t>
            </w:r>
          </w:p>
          <w:p w14:paraId="2A435CAB" w14:textId="33EEE73A"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2</w:t>
            </w:r>
            <w:r w:rsidR="0059742B">
              <w:rPr>
                <w:rFonts w:asciiTheme="majorEastAsia" w:eastAsiaTheme="majorEastAsia" w:hAnsiTheme="majorEastAsia" w:cstheme="majorEastAsia"/>
                <w:b/>
                <w:bCs/>
                <w:color w:val="0D0D0D" w:themeColor="text1" w:themeTint="F2"/>
                <w:szCs w:val="21"/>
              </w:rPr>
              <w:t>2</w:t>
            </w:r>
            <w:r w:rsidRPr="00356770">
              <w:rPr>
                <w:rFonts w:asciiTheme="majorEastAsia" w:eastAsiaTheme="majorEastAsia" w:hAnsiTheme="majorEastAsia" w:cstheme="majorEastAsia" w:hint="eastAsia"/>
                <w:b/>
                <w:bCs/>
                <w:color w:val="0D0D0D" w:themeColor="text1" w:themeTint="F2"/>
                <w:szCs w:val="21"/>
              </w:rPr>
              <w:t>0</w:t>
            </w:r>
          </w:p>
        </w:tc>
        <w:tc>
          <w:tcPr>
            <w:tcW w:w="844" w:type="dxa"/>
            <w:vAlign w:val="center"/>
          </w:tcPr>
          <w:p w14:paraId="7546DC5E" w14:textId="7B982ABE"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1</w:t>
            </w:r>
            <w:r>
              <w:rPr>
                <w:rFonts w:asciiTheme="majorEastAsia" w:eastAsiaTheme="majorEastAsia" w:hAnsiTheme="majorEastAsia" w:cstheme="majorEastAsia"/>
                <w:b/>
                <w:bCs/>
                <w:color w:val="0D0D0D" w:themeColor="text1" w:themeTint="F2"/>
                <w:szCs w:val="21"/>
              </w:rPr>
              <w:t>6</w:t>
            </w:r>
          </w:p>
        </w:tc>
        <w:tc>
          <w:tcPr>
            <w:tcW w:w="0" w:type="auto"/>
            <w:vMerge w:val="restart"/>
            <w:vAlign w:val="center"/>
          </w:tcPr>
          <w:p w14:paraId="3A80F098" w14:textId="69F201F5"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1</w:t>
            </w:r>
            <w:r>
              <w:rPr>
                <w:rFonts w:asciiTheme="majorEastAsia" w:eastAsiaTheme="majorEastAsia" w:hAnsiTheme="majorEastAsia" w:cstheme="majorEastAsia"/>
                <w:b/>
                <w:bCs/>
                <w:color w:val="0D0D0D" w:themeColor="text1" w:themeTint="F2"/>
                <w:szCs w:val="21"/>
              </w:rPr>
              <w:t>09</w:t>
            </w:r>
          </w:p>
        </w:tc>
      </w:tr>
      <w:tr w:rsidR="008A3D97" w:rsidRPr="00356770" w14:paraId="7CAD2CC2" w14:textId="77777777" w:rsidTr="008A3D97">
        <w:tc>
          <w:tcPr>
            <w:tcW w:w="0" w:type="auto"/>
            <w:vMerge/>
            <w:vAlign w:val="center"/>
          </w:tcPr>
          <w:p w14:paraId="6FD78F31"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3B9D2B3C"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17906DF2"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Ⅱ</w:t>
            </w:r>
            <w:r w:rsidRPr="00356770">
              <w:rPr>
                <w:rFonts w:asciiTheme="majorEastAsia" w:eastAsiaTheme="majorEastAsia" w:hAnsiTheme="majorEastAsia" w:cstheme="majorEastAsia" w:hint="eastAsia"/>
                <w:b/>
                <w:bCs/>
                <w:color w:val="0D0D0D" w:themeColor="text1" w:themeTint="F2"/>
                <w:szCs w:val="21"/>
              </w:rPr>
              <w:t>节能与能源利用施</w:t>
            </w:r>
          </w:p>
        </w:tc>
        <w:tc>
          <w:tcPr>
            <w:tcW w:w="1664" w:type="dxa"/>
            <w:vAlign w:val="center"/>
          </w:tcPr>
          <w:p w14:paraId="1AD6ABE4" w14:textId="2FEAD84B"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6</w:t>
            </w:r>
            <w:r>
              <w:rPr>
                <w:rFonts w:asciiTheme="majorEastAsia" w:eastAsiaTheme="majorEastAsia" w:hAnsiTheme="majorEastAsia" w:cstheme="majorEastAsia"/>
                <w:b/>
                <w:bCs/>
                <w:color w:val="0D0D0D" w:themeColor="text1" w:themeTint="F2"/>
                <w:szCs w:val="21"/>
              </w:rPr>
              <w:t>0</w:t>
            </w:r>
          </w:p>
        </w:tc>
        <w:tc>
          <w:tcPr>
            <w:tcW w:w="1048" w:type="dxa"/>
            <w:vMerge/>
            <w:vAlign w:val="center"/>
          </w:tcPr>
          <w:p w14:paraId="388D0E8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16738D44" w14:textId="17ACAE31"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3</w:t>
            </w:r>
            <w:r>
              <w:rPr>
                <w:rFonts w:asciiTheme="majorEastAsia" w:eastAsiaTheme="majorEastAsia" w:hAnsiTheme="majorEastAsia" w:cstheme="majorEastAsia"/>
                <w:b/>
                <w:bCs/>
                <w:color w:val="0D0D0D" w:themeColor="text1" w:themeTint="F2"/>
                <w:szCs w:val="21"/>
              </w:rPr>
              <w:t>6</w:t>
            </w:r>
          </w:p>
        </w:tc>
        <w:tc>
          <w:tcPr>
            <w:tcW w:w="0" w:type="auto"/>
            <w:vMerge/>
            <w:vAlign w:val="center"/>
          </w:tcPr>
          <w:p w14:paraId="69FF27F7"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74A7211F" w14:textId="77777777" w:rsidTr="008A3D97">
        <w:tc>
          <w:tcPr>
            <w:tcW w:w="0" w:type="auto"/>
            <w:vMerge/>
            <w:vAlign w:val="center"/>
          </w:tcPr>
          <w:p w14:paraId="1A9AFC40"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46CBDAC6"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1594A843"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Ⅲ</w:t>
            </w:r>
            <w:r w:rsidRPr="00356770">
              <w:rPr>
                <w:rFonts w:asciiTheme="majorEastAsia" w:eastAsiaTheme="majorEastAsia" w:hAnsiTheme="majorEastAsia" w:cstheme="majorEastAsia" w:hint="eastAsia"/>
                <w:b/>
                <w:bCs/>
                <w:color w:val="0D0D0D" w:themeColor="text1" w:themeTint="F2"/>
                <w:szCs w:val="21"/>
              </w:rPr>
              <w:t>节水与水资源利用</w:t>
            </w:r>
          </w:p>
        </w:tc>
        <w:tc>
          <w:tcPr>
            <w:tcW w:w="1664" w:type="dxa"/>
            <w:vAlign w:val="center"/>
          </w:tcPr>
          <w:p w14:paraId="0307CD03" w14:textId="543107F3"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r>
              <w:rPr>
                <w:rFonts w:asciiTheme="majorEastAsia" w:eastAsiaTheme="majorEastAsia" w:hAnsiTheme="majorEastAsia" w:cstheme="majorEastAsia"/>
                <w:b/>
                <w:bCs/>
                <w:color w:val="0D0D0D" w:themeColor="text1" w:themeTint="F2"/>
                <w:szCs w:val="21"/>
              </w:rPr>
              <w:t>0</w:t>
            </w:r>
          </w:p>
        </w:tc>
        <w:tc>
          <w:tcPr>
            <w:tcW w:w="1048" w:type="dxa"/>
            <w:vMerge/>
            <w:vAlign w:val="center"/>
          </w:tcPr>
          <w:p w14:paraId="5D50A82E"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7A50E079" w14:textId="56A34852"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4</w:t>
            </w:r>
            <w:r>
              <w:rPr>
                <w:rFonts w:asciiTheme="majorEastAsia" w:eastAsiaTheme="majorEastAsia" w:hAnsiTheme="majorEastAsia" w:cstheme="majorEastAsia"/>
                <w:b/>
                <w:bCs/>
                <w:color w:val="0D0D0D" w:themeColor="text1" w:themeTint="F2"/>
                <w:szCs w:val="21"/>
              </w:rPr>
              <w:t>5</w:t>
            </w:r>
          </w:p>
        </w:tc>
        <w:tc>
          <w:tcPr>
            <w:tcW w:w="0" w:type="auto"/>
            <w:vMerge/>
            <w:vAlign w:val="center"/>
          </w:tcPr>
          <w:p w14:paraId="0BC08B27"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70C3CA0D" w14:textId="77777777" w:rsidTr="008A3D97">
        <w:tc>
          <w:tcPr>
            <w:tcW w:w="0" w:type="auto"/>
            <w:vMerge/>
            <w:vAlign w:val="center"/>
          </w:tcPr>
          <w:p w14:paraId="4AAE86D1"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2476D0C7"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7D341564"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Ⅳ</w:t>
            </w:r>
            <w:r w:rsidRPr="00356770">
              <w:rPr>
                <w:rFonts w:asciiTheme="majorEastAsia" w:eastAsiaTheme="majorEastAsia" w:hAnsiTheme="majorEastAsia" w:cstheme="majorEastAsia" w:hint="eastAsia"/>
                <w:b/>
                <w:bCs/>
                <w:color w:val="0D0D0D" w:themeColor="text1" w:themeTint="F2"/>
                <w:szCs w:val="21"/>
              </w:rPr>
              <w:t>节材与绿色建材</w:t>
            </w:r>
          </w:p>
        </w:tc>
        <w:tc>
          <w:tcPr>
            <w:tcW w:w="1664" w:type="dxa"/>
            <w:vAlign w:val="center"/>
          </w:tcPr>
          <w:p w14:paraId="522598E2" w14:textId="20B8A459"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r>
              <w:rPr>
                <w:rFonts w:asciiTheme="majorEastAsia" w:eastAsiaTheme="majorEastAsia" w:hAnsiTheme="majorEastAsia" w:cstheme="majorEastAsia"/>
                <w:b/>
                <w:bCs/>
                <w:color w:val="0D0D0D" w:themeColor="text1" w:themeTint="F2"/>
                <w:szCs w:val="21"/>
              </w:rPr>
              <w:t>0</w:t>
            </w:r>
          </w:p>
        </w:tc>
        <w:tc>
          <w:tcPr>
            <w:tcW w:w="1048" w:type="dxa"/>
            <w:vMerge/>
            <w:vAlign w:val="center"/>
          </w:tcPr>
          <w:p w14:paraId="0767042D"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1617DF4F" w14:textId="511A464F"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1</w:t>
            </w:r>
            <w:r>
              <w:rPr>
                <w:rFonts w:asciiTheme="majorEastAsia" w:eastAsiaTheme="majorEastAsia" w:hAnsiTheme="majorEastAsia" w:cstheme="majorEastAsia"/>
                <w:b/>
                <w:bCs/>
                <w:color w:val="0D0D0D" w:themeColor="text1" w:themeTint="F2"/>
                <w:szCs w:val="21"/>
              </w:rPr>
              <w:t>2</w:t>
            </w:r>
          </w:p>
        </w:tc>
        <w:tc>
          <w:tcPr>
            <w:tcW w:w="0" w:type="auto"/>
            <w:vMerge/>
            <w:vAlign w:val="center"/>
          </w:tcPr>
          <w:p w14:paraId="2CDE8C94"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1319CE3F" w14:textId="77777777" w:rsidTr="008A3D97">
        <w:tc>
          <w:tcPr>
            <w:tcW w:w="0" w:type="auto"/>
            <w:vMerge w:val="restart"/>
            <w:vAlign w:val="center"/>
          </w:tcPr>
          <w:p w14:paraId="222B4F15"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环境宜居</w:t>
            </w:r>
          </w:p>
        </w:tc>
        <w:tc>
          <w:tcPr>
            <w:tcW w:w="0" w:type="auto"/>
            <w:vMerge w:val="restart"/>
            <w:vAlign w:val="center"/>
          </w:tcPr>
          <w:p w14:paraId="7285A3EE" w14:textId="1541F588"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 w:val="13"/>
                <w:szCs w:val="13"/>
              </w:rPr>
              <w:t>满足</w:t>
            </w:r>
          </w:p>
        </w:tc>
        <w:tc>
          <w:tcPr>
            <w:tcW w:w="2625" w:type="dxa"/>
            <w:vAlign w:val="center"/>
          </w:tcPr>
          <w:p w14:paraId="0BEED05C"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Ⅰ</w:t>
            </w:r>
            <w:r w:rsidRPr="00356770">
              <w:rPr>
                <w:rFonts w:asciiTheme="majorEastAsia" w:eastAsiaTheme="majorEastAsia" w:hAnsiTheme="majorEastAsia" w:cstheme="majorEastAsia" w:hint="eastAsia"/>
                <w:b/>
                <w:bCs/>
                <w:color w:val="0D0D0D" w:themeColor="text1" w:themeTint="F2"/>
                <w:szCs w:val="21"/>
              </w:rPr>
              <w:t>场地生态与景观</w:t>
            </w:r>
          </w:p>
        </w:tc>
        <w:tc>
          <w:tcPr>
            <w:tcW w:w="1664" w:type="dxa"/>
            <w:vAlign w:val="center"/>
          </w:tcPr>
          <w:p w14:paraId="63BC064D" w14:textId="56EEBEB6"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r>
              <w:rPr>
                <w:rFonts w:asciiTheme="majorEastAsia" w:eastAsiaTheme="majorEastAsia" w:hAnsiTheme="majorEastAsia" w:cstheme="majorEastAsia"/>
                <w:b/>
                <w:bCs/>
                <w:color w:val="0D0D0D" w:themeColor="text1" w:themeTint="F2"/>
                <w:szCs w:val="21"/>
              </w:rPr>
              <w:t>0</w:t>
            </w:r>
          </w:p>
        </w:tc>
        <w:tc>
          <w:tcPr>
            <w:tcW w:w="1048" w:type="dxa"/>
            <w:vMerge w:val="restart"/>
            <w:vAlign w:val="center"/>
          </w:tcPr>
          <w:p w14:paraId="3F4AB09C"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5</w:t>
            </w:r>
          </w:p>
          <w:p w14:paraId="2F661515"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100</w:t>
            </w:r>
          </w:p>
        </w:tc>
        <w:tc>
          <w:tcPr>
            <w:tcW w:w="844" w:type="dxa"/>
            <w:vAlign w:val="center"/>
          </w:tcPr>
          <w:p w14:paraId="7A439A3F" w14:textId="78081A5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6</w:t>
            </w:r>
          </w:p>
        </w:tc>
        <w:tc>
          <w:tcPr>
            <w:tcW w:w="0" w:type="auto"/>
            <w:vMerge w:val="restart"/>
            <w:vAlign w:val="center"/>
          </w:tcPr>
          <w:p w14:paraId="0E815801" w14:textId="70D28330"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r>
              <w:rPr>
                <w:rFonts w:asciiTheme="majorEastAsia" w:eastAsiaTheme="majorEastAsia" w:hAnsiTheme="majorEastAsia" w:cstheme="majorEastAsia"/>
                <w:b/>
                <w:bCs/>
                <w:color w:val="0D0D0D" w:themeColor="text1" w:themeTint="F2"/>
                <w:szCs w:val="21"/>
              </w:rPr>
              <w:t>0</w:t>
            </w:r>
          </w:p>
        </w:tc>
      </w:tr>
      <w:tr w:rsidR="008A3D97" w:rsidRPr="00356770" w14:paraId="25A90E58" w14:textId="77777777" w:rsidTr="008A3D97">
        <w:tc>
          <w:tcPr>
            <w:tcW w:w="0" w:type="auto"/>
            <w:vMerge/>
            <w:vAlign w:val="center"/>
          </w:tcPr>
          <w:p w14:paraId="6009FCFC"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0" w:type="auto"/>
            <w:vMerge/>
            <w:vAlign w:val="center"/>
          </w:tcPr>
          <w:p w14:paraId="7A3B2EED"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2625" w:type="dxa"/>
            <w:vAlign w:val="center"/>
          </w:tcPr>
          <w:p w14:paraId="4B844311"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b/>
                <w:bCs/>
                <w:color w:val="0D0D0D" w:themeColor="text1" w:themeTint="F2"/>
                <w:szCs w:val="21"/>
              </w:rPr>
              <w:t>Ⅱ</w:t>
            </w:r>
            <w:r w:rsidRPr="00356770">
              <w:rPr>
                <w:rFonts w:asciiTheme="majorEastAsia" w:eastAsiaTheme="majorEastAsia" w:hAnsiTheme="majorEastAsia" w:cstheme="majorEastAsia" w:hint="eastAsia"/>
                <w:b/>
                <w:bCs/>
                <w:color w:val="0D0D0D" w:themeColor="text1" w:themeTint="F2"/>
                <w:szCs w:val="21"/>
              </w:rPr>
              <w:t>室外物理环境</w:t>
            </w:r>
          </w:p>
        </w:tc>
        <w:tc>
          <w:tcPr>
            <w:tcW w:w="1664" w:type="dxa"/>
            <w:vAlign w:val="center"/>
          </w:tcPr>
          <w:p w14:paraId="2C0DBE84" w14:textId="363CD577" w:rsidR="008A3D97" w:rsidRPr="00356770" w:rsidRDefault="0059742B"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5</w:t>
            </w:r>
            <w:r>
              <w:rPr>
                <w:rFonts w:asciiTheme="majorEastAsia" w:eastAsiaTheme="majorEastAsia" w:hAnsiTheme="majorEastAsia" w:cstheme="majorEastAsia"/>
                <w:b/>
                <w:bCs/>
                <w:color w:val="0D0D0D" w:themeColor="text1" w:themeTint="F2"/>
                <w:szCs w:val="21"/>
              </w:rPr>
              <w:t>0</w:t>
            </w:r>
          </w:p>
        </w:tc>
        <w:tc>
          <w:tcPr>
            <w:tcW w:w="1048" w:type="dxa"/>
            <w:vMerge/>
            <w:vAlign w:val="center"/>
          </w:tcPr>
          <w:p w14:paraId="2652918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c>
          <w:tcPr>
            <w:tcW w:w="844" w:type="dxa"/>
            <w:vAlign w:val="center"/>
          </w:tcPr>
          <w:p w14:paraId="48A62ED4" w14:textId="69E76D0B"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2</w:t>
            </w:r>
            <w:r>
              <w:rPr>
                <w:rFonts w:asciiTheme="majorEastAsia" w:eastAsiaTheme="majorEastAsia" w:hAnsiTheme="majorEastAsia" w:cstheme="majorEastAsia"/>
                <w:b/>
                <w:bCs/>
                <w:color w:val="0D0D0D" w:themeColor="text1" w:themeTint="F2"/>
                <w:szCs w:val="21"/>
              </w:rPr>
              <w:t>4</w:t>
            </w:r>
          </w:p>
        </w:tc>
        <w:tc>
          <w:tcPr>
            <w:tcW w:w="0" w:type="auto"/>
            <w:vMerge/>
            <w:vAlign w:val="center"/>
          </w:tcPr>
          <w:p w14:paraId="2A5F50BC"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
        </w:tc>
      </w:tr>
      <w:tr w:rsidR="008A3D97" w:rsidRPr="00356770" w14:paraId="6C65F922" w14:textId="77777777" w:rsidTr="008A3D97">
        <w:tc>
          <w:tcPr>
            <w:tcW w:w="0" w:type="auto"/>
            <w:gridSpan w:val="2"/>
            <w:vAlign w:val="center"/>
          </w:tcPr>
          <w:p w14:paraId="61981BD6" w14:textId="2E060A39"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proofErr w:type="gramStart"/>
            <w:r w:rsidRPr="00356770">
              <w:rPr>
                <w:rFonts w:asciiTheme="majorEastAsia" w:eastAsiaTheme="majorEastAsia" w:hAnsiTheme="majorEastAsia" w:cstheme="majorEastAsia" w:hint="eastAsia"/>
                <w:b/>
                <w:bCs/>
                <w:color w:val="0D0D0D" w:themeColor="text1" w:themeTint="F2"/>
                <w:szCs w:val="21"/>
              </w:rPr>
              <w:t>控制项全满足</w:t>
            </w:r>
            <w:proofErr w:type="gramEnd"/>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0</w:t>
            </w:r>
            <w:r w:rsidRPr="00356770">
              <w:rPr>
                <w:rFonts w:asciiTheme="majorEastAsia" w:eastAsiaTheme="majorEastAsia" w:hAnsiTheme="majorEastAsia" w:cstheme="majorEastAsia" w:hint="eastAsia"/>
                <w:b/>
                <w:bCs/>
                <w:color w:val="0D0D0D" w:themeColor="text1" w:themeTint="F2"/>
                <w:szCs w:val="21"/>
              </w:rPr>
              <w:t xml:space="preserve">=400 </w:t>
            </w:r>
            <w:r w:rsidRPr="00356770">
              <w:rPr>
                <w:rFonts w:asciiTheme="majorEastAsia" w:eastAsiaTheme="majorEastAsia" w:hAnsiTheme="majorEastAsia" w:cstheme="majorEastAsia"/>
                <w:color w:val="0D0D0D" w:themeColor="text1" w:themeTint="F2"/>
                <w:szCs w:val="21"/>
              </w:rPr>
              <w:t>√</w:t>
            </w:r>
          </w:p>
        </w:tc>
        <w:tc>
          <w:tcPr>
            <w:tcW w:w="2625" w:type="dxa"/>
            <w:vAlign w:val="center"/>
          </w:tcPr>
          <w:p w14:paraId="2370C0BA"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提高和创新</w:t>
            </w:r>
          </w:p>
        </w:tc>
        <w:tc>
          <w:tcPr>
            <w:tcW w:w="2712" w:type="dxa"/>
            <w:gridSpan w:val="2"/>
            <w:vAlign w:val="center"/>
          </w:tcPr>
          <w:p w14:paraId="379E6D32" w14:textId="7777777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 xml:space="preserve">A  </w:t>
            </w:r>
            <w:r w:rsidRPr="00356770">
              <w:rPr>
                <w:rFonts w:asciiTheme="majorEastAsia" w:eastAsiaTheme="majorEastAsia" w:hAnsiTheme="majorEastAsia" w:cstheme="majorEastAsia" w:hint="eastAsia"/>
                <w:b/>
                <w:bCs/>
                <w:color w:val="0D0D0D" w:themeColor="text1" w:themeTint="F2"/>
                <w:szCs w:val="21"/>
              </w:rPr>
              <w:t>100</w:t>
            </w:r>
          </w:p>
        </w:tc>
        <w:tc>
          <w:tcPr>
            <w:tcW w:w="1521" w:type="dxa"/>
            <w:gridSpan w:val="2"/>
            <w:vAlign w:val="center"/>
          </w:tcPr>
          <w:p w14:paraId="53CFF7E5" w14:textId="2A863590"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Pr>
                <w:rFonts w:asciiTheme="majorEastAsia" w:eastAsiaTheme="majorEastAsia" w:hAnsiTheme="majorEastAsia" w:cstheme="majorEastAsia" w:hint="eastAsia"/>
                <w:b/>
                <w:bCs/>
                <w:color w:val="0D0D0D" w:themeColor="text1" w:themeTint="F2"/>
                <w:szCs w:val="21"/>
              </w:rPr>
              <w:t>6</w:t>
            </w:r>
            <w:r>
              <w:rPr>
                <w:rFonts w:asciiTheme="majorEastAsia" w:eastAsiaTheme="majorEastAsia" w:hAnsiTheme="majorEastAsia" w:cstheme="majorEastAsia"/>
                <w:b/>
                <w:bCs/>
                <w:color w:val="0D0D0D" w:themeColor="text1" w:themeTint="F2"/>
                <w:szCs w:val="21"/>
              </w:rPr>
              <w:t>0</w:t>
            </w:r>
          </w:p>
        </w:tc>
      </w:tr>
      <w:tr w:rsidR="008A3D97" w:rsidRPr="00356770" w14:paraId="4CC58B59" w14:textId="77777777">
        <w:tc>
          <w:tcPr>
            <w:tcW w:w="0" w:type="auto"/>
            <w:gridSpan w:val="7"/>
            <w:vAlign w:val="center"/>
          </w:tcPr>
          <w:p w14:paraId="1F13919A" w14:textId="5DC8692D"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星级绿色建筑的技术满足（《绿色建筑评价标准》表3.2.8）：</w:t>
            </w:r>
            <w:proofErr w:type="gramStart"/>
            <w:r w:rsidRPr="00356770">
              <w:rPr>
                <w:rFonts w:asciiTheme="majorEastAsia" w:eastAsiaTheme="majorEastAsia" w:hAnsiTheme="majorEastAsia" w:cstheme="majorEastAsia" w:hint="eastAsia"/>
                <w:b/>
                <w:bCs/>
                <w:color w:val="0D0D0D" w:themeColor="text1" w:themeTint="F2"/>
                <w:szCs w:val="21"/>
              </w:rPr>
              <w:t>一</w:t>
            </w:r>
            <w:proofErr w:type="gramEnd"/>
            <w:r w:rsidRPr="00356770">
              <w:rPr>
                <w:rFonts w:asciiTheme="majorEastAsia" w:eastAsiaTheme="majorEastAsia" w:hAnsiTheme="majorEastAsia" w:cstheme="majorEastAsia" w:hint="eastAsia"/>
                <w:b/>
                <w:bCs/>
                <w:color w:val="0D0D0D" w:themeColor="text1" w:themeTint="F2"/>
                <w:szCs w:val="21"/>
              </w:rPr>
              <w:t>星级□   二星级</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b/>
                <w:bCs/>
                <w:color w:val="0D0D0D" w:themeColor="text1" w:themeTint="F2"/>
                <w:szCs w:val="21"/>
              </w:rPr>
              <w:t xml:space="preserve">   三星级□</w:t>
            </w:r>
          </w:p>
        </w:tc>
      </w:tr>
      <w:tr w:rsidR="008A3D97" w:rsidRPr="00356770" w14:paraId="2C8F4437" w14:textId="77777777">
        <w:tc>
          <w:tcPr>
            <w:tcW w:w="0" w:type="auto"/>
            <w:gridSpan w:val="7"/>
            <w:vAlign w:val="center"/>
          </w:tcPr>
          <w:p w14:paraId="517FBD55" w14:textId="420EE367"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各类总得分数所占满分值是否≥30%：是</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b/>
                <w:bCs/>
                <w:color w:val="0D0D0D" w:themeColor="text1" w:themeTint="F2"/>
                <w:szCs w:val="21"/>
              </w:rPr>
              <w:t xml:space="preserve">  否□</w:t>
            </w:r>
          </w:p>
        </w:tc>
      </w:tr>
      <w:tr w:rsidR="008A3D97" w:rsidRPr="00356770" w14:paraId="094C065D" w14:textId="77777777">
        <w:tc>
          <w:tcPr>
            <w:tcW w:w="0" w:type="auto"/>
            <w:gridSpan w:val="2"/>
            <w:vAlign w:val="center"/>
          </w:tcPr>
          <w:p w14:paraId="0F38BFC2" w14:textId="7E29325A"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全装修：是</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b/>
                <w:bCs/>
                <w:color w:val="0D0D0D" w:themeColor="text1" w:themeTint="F2"/>
                <w:szCs w:val="21"/>
              </w:rPr>
              <w:t xml:space="preserve">  否□</w:t>
            </w:r>
          </w:p>
        </w:tc>
        <w:tc>
          <w:tcPr>
            <w:tcW w:w="0" w:type="auto"/>
            <w:gridSpan w:val="5"/>
            <w:vAlign w:val="center"/>
          </w:tcPr>
          <w:p w14:paraId="0F213DC9" w14:textId="0B9B8FA9"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全装修选用材料及产品质量应符合国家现行有关标准的规定：是</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b/>
                <w:bCs/>
                <w:color w:val="0D0D0D" w:themeColor="text1" w:themeTint="F2"/>
                <w:szCs w:val="21"/>
              </w:rPr>
              <w:t xml:space="preserve"> 否□</w:t>
            </w:r>
          </w:p>
        </w:tc>
      </w:tr>
      <w:tr w:rsidR="008A3D97" w:rsidRPr="00356770" w14:paraId="4FCCC0BC" w14:textId="77777777">
        <w:tc>
          <w:tcPr>
            <w:tcW w:w="0" w:type="auto"/>
            <w:gridSpan w:val="7"/>
            <w:vAlign w:val="center"/>
          </w:tcPr>
          <w:p w14:paraId="449CD60E" w14:textId="331CE3A2"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总分：Q=（Q</w:t>
            </w:r>
            <w:r w:rsidRPr="00356770">
              <w:rPr>
                <w:rFonts w:asciiTheme="majorEastAsia" w:eastAsiaTheme="majorEastAsia" w:hAnsiTheme="majorEastAsia" w:cstheme="majorEastAsia" w:hint="eastAsia"/>
                <w:b/>
                <w:bCs/>
                <w:color w:val="0D0D0D" w:themeColor="text1" w:themeTint="F2"/>
                <w:sz w:val="15"/>
                <w:szCs w:val="15"/>
              </w:rPr>
              <w:t>0</w:t>
            </w: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1</w:t>
            </w: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2</w:t>
            </w: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3</w:t>
            </w: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4</w:t>
            </w: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5</w:t>
            </w:r>
            <w:r w:rsidRPr="00356770">
              <w:rPr>
                <w:rFonts w:asciiTheme="majorEastAsia" w:eastAsiaTheme="majorEastAsia" w:hAnsiTheme="majorEastAsia" w:cstheme="majorEastAsia" w:hint="eastAsia"/>
                <w:b/>
                <w:bCs/>
                <w:color w:val="0D0D0D" w:themeColor="text1" w:themeTint="F2"/>
                <w:szCs w:val="21"/>
              </w:rPr>
              <w:t>+Q</w:t>
            </w:r>
            <w:r w:rsidRPr="00356770">
              <w:rPr>
                <w:rFonts w:asciiTheme="majorEastAsia" w:eastAsiaTheme="majorEastAsia" w:hAnsiTheme="majorEastAsia" w:cstheme="majorEastAsia" w:hint="eastAsia"/>
                <w:b/>
                <w:bCs/>
                <w:color w:val="0D0D0D" w:themeColor="text1" w:themeTint="F2"/>
                <w:sz w:val="15"/>
                <w:szCs w:val="15"/>
              </w:rPr>
              <w:t>A</w:t>
            </w:r>
            <w:r w:rsidRPr="00356770">
              <w:rPr>
                <w:rFonts w:asciiTheme="majorEastAsia" w:eastAsiaTheme="majorEastAsia" w:hAnsiTheme="majorEastAsia" w:cstheme="majorEastAsia" w:hint="eastAsia"/>
                <w:b/>
                <w:bCs/>
                <w:color w:val="0D0D0D" w:themeColor="text1" w:themeTint="F2"/>
                <w:szCs w:val="21"/>
              </w:rPr>
              <w:t>）/10=</w:t>
            </w:r>
            <w:r>
              <w:rPr>
                <w:rFonts w:asciiTheme="majorEastAsia" w:eastAsiaTheme="majorEastAsia" w:hAnsiTheme="majorEastAsia" w:cstheme="majorEastAsia"/>
                <w:b/>
                <w:bCs/>
                <w:color w:val="0D0D0D" w:themeColor="text1" w:themeTint="F2"/>
                <w:szCs w:val="21"/>
              </w:rPr>
              <w:t>8</w:t>
            </w:r>
            <w:r w:rsidR="0059742B">
              <w:rPr>
                <w:rFonts w:asciiTheme="majorEastAsia" w:eastAsiaTheme="majorEastAsia" w:hAnsiTheme="majorEastAsia" w:cstheme="majorEastAsia"/>
                <w:b/>
                <w:bCs/>
                <w:color w:val="0D0D0D" w:themeColor="text1" w:themeTint="F2"/>
                <w:szCs w:val="21"/>
              </w:rPr>
              <w:t>3</w:t>
            </w:r>
            <w:r>
              <w:rPr>
                <w:rFonts w:asciiTheme="majorEastAsia" w:eastAsiaTheme="majorEastAsia" w:hAnsiTheme="majorEastAsia" w:cstheme="majorEastAsia"/>
                <w:b/>
                <w:bCs/>
                <w:color w:val="0D0D0D" w:themeColor="text1" w:themeTint="F2"/>
                <w:szCs w:val="21"/>
              </w:rPr>
              <w:t>.</w:t>
            </w:r>
            <w:r w:rsidR="0059742B">
              <w:rPr>
                <w:rFonts w:asciiTheme="majorEastAsia" w:eastAsiaTheme="majorEastAsia" w:hAnsiTheme="majorEastAsia" w:cstheme="majorEastAsia"/>
                <w:b/>
                <w:bCs/>
                <w:color w:val="0D0D0D" w:themeColor="text1" w:themeTint="F2"/>
                <w:szCs w:val="21"/>
              </w:rPr>
              <w:t>6</w:t>
            </w:r>
          </w:p>
        </w:tc>
      </w:tr>
      <w:tr w:rsidR="008A3D97" w:rsidRPr="00356770" w14:paraId="2206B6E3" w14:textId="77777777">
        <w:tc>
          <w:tcPr>
            <w:tcW w:w="0" w:type="auto"/>
            <w:gridSpan w:val="7"/>
            <w:vAlign w:val="center"/>
          </w:tcPr>
          <w:p w14:paraId="7D0ACA7A" w14:textId="61DC5269" w:rsidR="008A3D97" w:rsidRPr="00356770" w:rsidRDefault="008A3D97" w:rsidP="008A3D97">
            <w:pPr>
              <w:jc w:val="center"/>
              <w:rPr>
                <w:rFonts w:asciiTheme="majorEastAsia" w:eastAsiaTheme="majorEastAsia" w:hAnsiTheme="majorEastAsia" w:cstheme="majorEastAsia"/>
                <w:b/>
                <w:bCs/>
                <w:color w:val="0D0D0D" w:themeColor="text1" w:themeTint="F2"/>
                <w:szCs w:val="21"/>
              </w:rPr>
            </w:pPr>
            <w:r w:rsidRPr="00356770">
              <w:rPr>
                <w:rFonts w:asciiTheme="majorEastAsia" w:eastAsiaTheme="majorEastAsia" w:hAnsiTheme="majorEastAsia" w:cstheme="majorEastAsia" w:hint="eastAsia"/>
                <w:b/>
                <w:bCs/>
                <w:color w:val="0D0D0D" w:themeColor="text1" w:themeTint="F2"/>
                <w:szCs w:val="21"/>
              </w:rPr>
              <w:t xml:space="preserve">评价结果：基本级□  </w:t>
            </w:r>
            <w:proofErr w:type="gramStart"/>
            <w:r w:rsidRPr="00356770">
              <w:rPr>
                <w:rFonts w:asciiTheme="majorEastAsia" w:eastAsiaTheme="majorEastAsia" w:hAnsiTheme="majorEastAsia" w:cstheme="majorEastAsia" w:hint="eastAsia"/>
                <w:b/>
                <w:bCs/>
                <w:color w:val="0D0D0D" w:themeColor="text1" w:themeTint="F2"/>
                <w:szCs w:val="21"/>
              </w:rPr>
              <w:t>一</w:t>
            </w:r>
            <w:proofErr w:type="gramEnd"/>
            <w:r w:rsidRPr="00356770">
              <w:rPr>
                <w:rFonts w:asciiTheme="majorEastAsia" w:eastAsiaTheme="majorEastAsia" w:hAnsiTheme="majorEastAsia" w:cstheme="majorEastAsia" w:hint="eastAsia"/>
                <w:b/>
                <w:bCs/>
                <w:color w:val="0D0D0D" w:themeColor="text1" w:themeTint="F2"/>
                <w:szCs w:val="21"/>
              </w:rPr>
              <w:t>星级□   二星级</w:t>
            </w:r>
            <w:r w:rsidRPr="00356770">
              <w:rPr>
                <w:rFonts w:asciiTheme="majorEastAsia" w:eastAsiaTheme="majorEastAsia" w:hAnsiTheme="majorEastAsia" w:cstheme="majorEastAsia"/>
                <w:color w:val="0D0D0D" w:themeColor="text1" w:themeTint="F2"/>
                <w:szCs w:val="21"/>
              </w:rPr>
              <w:t>√</w:t>
            </w:r>
            <w:r w:rsidRPr="00356770">
              <w:rPr>
                <w:rFonts w:asciiTheme="majorEastAsia" w:eastAsiaTheme="majorEastAsia" w:hAnsiTheme="majorEastAsia" w:cstheme="majorEastAsia" w:hint="eastAsia"/>
                <w:b/>
                <w:bCs/>
                <w:color w:val="0D0D0D" w:themeColor="text1" w:themeTint="F2"/>
                <w:szCs w:val="21"/>
              </w:rPr>
              <w:t xml:space="preserve">   三星级□</w:t>
            </w:r>
          </w:p>
        </w:tc>
      </w:tr>
    </w:tbl>
    <w:p w14:paraId="76A2F302" w14:textId="77777777" w:rsidR="000009FC" w:rsidRPr="00356770" w:rsidRDefault="000009FC">
      <w:pPr>
        <w:jc w:val="left"/>
        <w:rPr>
          <w:rFonts w:asciiTheme="majorEastAsia" w:eastAsiaTheme="majorEastAsia" w:hAnsiTheme="majorEastAsia" w:cstheme="majorEastAsia"/>
          <w:b/>
          <w:bCs/>
          <w:color w:val="0D0D0D" w:themeColor="text1" w:themeTint="F2"/>
          <w:szCs w:val="21"/>
        </w:rPr>
      </w:pPr>
    </w:p>
    <w:sectPr w:rsidR="000009FC" w:rsidRPr="00356770">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7C09" w14:textId="77777777" w:rsidR="003B61E6" w:rsidRDefault="003B61E6" w:rsidP="00B03D51">
      <w:r>
        <w:separator/>
      </w:r>
    </w:p>
  </w:endnote>
  <w:endnote w:type="continuationSeparator" w:id="0">
    <w:p w14:paraId="40A30A35" w14:textId="77777777" w:rsidR="003B61E6" w:rsidRDefault="003B61E6" w:rsidP="00B0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FB89" w14:textId="77777777" w:rsidR="003B61E6" w:rsidRDefault="003B61E6" w:rsidP="00B03D51">
      <w:r>
        <w:separator/>
      </w:r>
    </w:p>
  </w:footnote>
  <w:footnote w:type="continuationSeparator" w:id="0">
    <w:p w14:paraId="61CFF38C" w14:textId="77777777" w:rsidR="003B61E6" w:rsidRDefault="003B61E6" w:rsidP="00B0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714"/>
    <w:multiLevelType w:val="hybridMultilevel"/>
    <w:tmpl w:val="7002561A"/>
    <w:lvl w:ilvl="0" w:tplc="64C65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640A1"/>
    <w:multiLevelType w:val="hybridMultilevel"/>
    <w:tmpl w:val="61CAF722"/>
    <w:lvl w:ilvl="0" w:tplc="E8C21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3870E6"/>
    <w:multiLevelType w:val="hybridMultilevel"/>
    <w:tmpl w:val="47B0BD16"/>
    <w:lvl w:ilvl="0" w:tplc="88B2A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2B02D2"/>
    <w:multiLevelType w:val="singleLevel"/>
    <w:tmpl w:val="472B02D2"/>
    <w:lvl w:ilvl="0">
      <w:start w:val="2"/>
      <w:numFmt w:val="decimal"/>
      <w:lvlText w:val="%1."/>
      <w:lvlJc w:val="left"/>
      <w:pPr>
        <w:tabs>
          <w:tab w:val="left" w:pos="312"/>
        </w:tabs>
      </w:pPr>
    </w:lvl>
  </w:abstractNum>
  <w:abstractNum w:abstractNumId="4" w15:restartNumberingAfterBreak="0">
    <w:nsid w:val="4E277259"/>
    <w:multiLevelType w:val="hybridMultilevel"/>
    <w:tmpl w:val="29CCDE72"/>
    <w:lvl w:ilvl="0" w:tplc="7AC20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0B28E1"/>
    <w:multiLevelType w:val="hybridMultilevel"/>
    <w:tmpl w:val="E4067CD6"/>
    <w:lvl w:ilvl="0" w:tplc="37B46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IyZWJhNGY4YzhlMDIxMzNjNjM0MDRmMWRjYTJkZTcifQ=="/>
  </w:docVars>
  <w:rsids>
    <w:rsidRoot w:val="03341F59"/>
    <w:rsid w:val="000009FC"/>
    <w:rsid w:val="001D3E36"/>
    <w:rsid w:val="002450F6"/>
    <w:rsid w:val="00294D2D"/>
    <w:rsid w:val="002C1843"/>
    <w:rsid w:val="00356770"/>
    <w:rsid w:val="0038210A"/>
    <w:rsid w:val="003B61E6"/>
    <w:rsid w:val="0044598A"/>
    <w:rsid w:val="004A489D"/>
    <w:rsid w:val="004A7D1B"/>
    <w:rsid w:val="004F7862"/>
    <w:rsid w:val="00532A14"/>
    <w:rsid w:val="0059742B"/>
    <w:rsid w:val="0061202A"/>
    <w:rsid w:val="00626159"/>
    <w:rsid w:val="006E701E"/>
    <w:rsid w:val="008419D7"/>
    <w:rsid w:val="008A3D97"/>
    <w:rsid w:val="00943DD9"/>
    <w:rsid w:val="0095011E"/>
    <w:rsid w:val="00B03D51"/>
    <w:rsid w:val="00B343CF"/>
    <w:rsid w:val="00BF690A"/>
    <w:rsid w:val="00C05622"/>
    <w:rsid w:val="00C33E5A"/>
    <w:rsid w:val="00CD02A2"/>
    <w:rsid w:val="00CF7E13"/>
    <w:rsid w:val="00D558EB"/>
    <w:rsid w:val="00D86C96"/>
    <w:rsid w:val="00DF1AFE"/>
    <w:rsid w:val="00E03107"/>
    <w:rsid w:val="00E1351F"/>
    <w:rsid w:val="00E50D6D"/>
    <w:rsid w:val="00E51FA6"/>
    <w:rsid w:val="00FC77DB"/>
    <w:rsid w:val="02500E70"/>
    <w:rsid w:val="03341F59"/>
    <w:rsid w:val="07B611C8"/>
    <w:rsid w:val="07BC5992"/>
    <w:rsid w:val="08A61507"/>
    <w:rsid w:val="0A345828"/>
    <w:rsid w:val="0C3628D7"/>
    <w:rsid w:val="0EB4779A"/>
    <w:rsid w:val="0EE859DF"/>
    <w:rsid w:val="108C26F1"/>
    <w:rsid w:val="15445D33"/>
    <w:rsid w:val="17050C41"/>
    <w:rsid w:val="1FFE1CDD"/>
    <w:rsid w:val="203315D8"/>
    <w:rsid w:val="232025C8"/>
    <w:rsid w:val="26D07BFE"/>
    <w:rsid w:val="27612A8C"/>
    <w:rsid w:val="28BC65A1"/>
    <w:rsid w:val="291F79D5"/>
    <w:rsid w:val="29C15A7E"/>
    <w:rsid w:val="29DA08EE"/>
    <w:rsid w:val="2AB63F8B"/>
    <w:rsid w:val="2E1D6FFC"/>
    <w:rsid w:val="30872969"/>
    <w:rsid w:val="309C1149"/>
    <w:rsid w:val="3254318D"/>
    <w:rsid w:val="35241716"/>
    <w:rsid w:val="360A4005"/>
    <w:rsid w:val="362430BF"/>
    <w:rsid w:val="365E4655"/>
    <w:rsid w:val="37A147F9"/>
    <w:rsid w:val="37CB1876"/>
    <w:rsid w:val="38B27AEC"/>
    <w:rsid w:val="38E934F7"/>
    <w:rsid w:val="39141EA3"/>
    <w:rsid w:val="3B19666E"/>
    <w:rsid w:val="3F0B0518"/>
    <w:rsid w:val="3F566811"/>
    <w:rsid w:val="40D61697"/>
    <w:rsid w:val="435C12C8"/>
    <w:rsid w:val="44404E85"/>
    <w:rsid w:val="46BB0BEE"/>
    <w:rsid w:val="4AFA2747"/>
    <w:rsid w:val="4B4340EE"/>
    <w:rsid w:val="4C64532E"/>
    <w:rsid w:val="545350F0"/>
    <w:rsid w:val="550A7641"/>
    <w:rsid w:val="578C5308"/>
    <w:rsid w:val="57931F59"/>
    <w:rsid w:val="57D305A7"/>
    <w:rsid w:val="59950CD7"/>
    <w:rsid w:val="5A8D0FAC"/>
    <w:rsid w:val="5B9F3959"/>
    <w:rsid w:val="5C065FFE"/>
    <w:rsid w:val="5DCE5BB7"/>
    <w:rsid w:val="5EFD23AE"/>
    <w:rsid w:val="60FD0443"/>
    <w:rsid w:val="62613604"/>
    <w:rsid w:val="62C56BFE"/>
    <w:rsid w:val="62E1351F"/>
    <w:rsid w:val="6928320A"/>
    <w:rsid w:val="69FC52FB"/>
    <w:rsid w:val="6C283648"/>
    <w:rsid w:val="6DC9002B"/>
    <w:rsid w:val="6E49116B"/>
    <w:rsid w:val="6F8A763A"/>
    <w:rsid w:val="70891C60"/>
    <w:rsid w:val="71003B2D"/>
    <w:rsid w:val="712A18A5"/>
    <w:rsid w:val="764221C2"/>
    <w:rsid w:val="7698720C"/>
    <w:rsid w:val="79147D72"/>
    <w:rsid w:val="7AEC0927"/>
    <w:rsid w:val="7FA9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8F1D3"/>
  <w15:docId w15:val="{1FD4BBBE-E6A9-4DF3-B303-1B94288E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rPr>
      <w:rFonts w:eastAsia="宋体"/>
    </w:rPr>
  </w:style>
  <w:style w:type="paragraph" w:styleId="a5">
    <w:name w:val="header"/>
    <w:basedOn w:val="a"/>
    <w:link w:val="a6"/>
    <w:rsid w:val="00B03D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03D51"/>
    <w:rPr>
      <w:kern w:val="2"/>
      <w:sz w:val="18"/>
      <w:szCs w:val="18"/>
    </w:rPr>
  </w:style>
  <w:style w:type="paragraph" w:styleId="a7">
    <w:name w:val="footer"/>
    <w:basedOn w:val="a"/>
    <w:link w:val="a8"/>
    <w:rsid w:val="00B03D51"/>
    <w:pPr>
      <w:tabs>
        <w:tab w:val="center" w:pos="4153"/>
        <w:tab w:val="right" w:pos="8306"/>
      </w:tabs>
      <w:snapToGrid w:val="0"/>
      <w:jc w:val="left"/>
    </w:pPr>
    <w:rPr>
      <w:sz w:val="18"/>
      <w:szCs w:val="18"/>
    </w:rPr>
  </w:style>
  <w:style w:type="character" w:customStyle="1" w:styleId="a8">
    <w:name w:val="页脚 字符"/>
    <w:basedOn w:val="a0"/>
    <w:link w:val="a7"/>
    <w:rsid w:val="00B03D51"/>
    <w:rPr>
      <w:kern w:val="2"/>
      <w:sz w:val="18"/>
      <w:szCs w:val="18"/>
    </w:rPr>
  </w:style>
  <w:style w:type="character" w:styleId="a9">
    <w:name w:val="Placeholder Text"/>
    <w:basedOn w:val="a0"/>
    <w:uiPriority w:val="99"/>
    <w:semiHidden/>
    <w:rsid w:val="00D86C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61</Pages>
  <Words>6765</Words>
  <Characters>38562</Characters>
  <Application>Microsoft Office Word</Application>
  <DocSecurity>0</DocSecurity>
  <Lines>321</Lines>
  <Paragraphs>90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OMEN</cp:lastModifiedBy>
  <cp:revision>19</cp:revision>
  <dcterms:created xsi:type="dcterms:W3CDTF">2023-12-12T04:05:00Z</dcterms:created>
  <dcterms:modified xsi:type="dcterms:W3CDTF">2024-01-14T03:40:00Z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8415AEABD3A2488BAC4DBA6488E79649_11</vt:lpwstr>
  </property>
</Properties>
</file>