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重庆</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2024年01月08日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pPr>
              <w:spacing w:line="240" w:lineRule="atLeast"/>
              <w:rPr>
                <w:sz w:val="18"/>
                <w:szCs w:val="18"/>
              </w:rPr>
            </w:pPr>
            <w:bookmarkStart w:id="8" w:name="采用软件"/>
            <w:r>
              <w:rPr>
                <w:rFonts w:hint="eastAsia"/>
              </w:rPr>
              <w:t>建筑通风Vent2023</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pPr>
              <w:spacing w:line="240" w:lineRule="atLeast"/>
              <w:rPr>
                <w:sz w:val="18"/>
                <w:szCs w:val="18"/>
              </w:rPr>
            </w:pPr>
            <w:bookmarkStart w:id="9" w:name="软件版本"/>
            <w:r>
              <w:rPr>
                <w:rFonts w:hint="eastAsia"/>
                <w:sz w:val="18"/>
                <w:szCs w:val="18"/>
              </w:rPr>
              <w:t>20220401</w:t>
            </w:r>
            <w:bookmarkEnd w:id="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240" w:lineRule="atLeast"/>
              <w:rPr>
                <w:sz w:val="18"/>
                <w:szCs w:val="18"/>
              </w:rPr>
            </w:pPr>
            <w:r>
              <w:rPr>
                <w:rFonts w:hint="eastAsia"/>
                <w:sz w:val="18"/>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pPr>
              <w:rPr>
                <w:rFonts w:cstheme="minorBidi"/>
                <w:kern w:val="2"/>
                <w:szCs w:val="18"/>
                <w:lang w:val="en-US"/>
              </w:rPr>
            </w:pPr>
            <w:bookmarkStart w:id="10" w:name="加密锁号"/>
            <w:r>
              <w:rPr>
                <w:rFonts w:hint="eastAsia"/>
              </w:rPr>
              <w:t>S01625BA0</w:t>
            </w:r>
            <w:bookmarkEnd w:id="10"/>
          </w:p>
        </w:tc>
      </w:tr>
    </w:tbl>
    <w:p>
      <w:pPr>
        <w:spacing w:line="240" w:lineRule="auto"/>
        <w:jc w:val="center"/>
        <w:rPr>
          <w:rFonts w:ascii="宋体" w:hAnsi="宋体"/>
          <w:b/>
          <w:bCs/>
          <w:sz w:val="30"/>
          <w:szCs w:val="32"/>
        </w:rPr>
      </w:pPr>
    </w:p>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"_Toc155572936" </w:instrText>
      </w:r>
      <w:r>
        <w:fldChar w:fldCharType="separate"/>
      </w:r>
      <w:r>
        <w:rPr>
          <w:rStyle w:val="26"/>
        </w:rPr>
        <w:t>1</w:t>
      </w:r>
      <w:r>
        <w:rPr>
          <w:rFonts w:asciiTheme="minorHAnsi" w:hAnsiTheme="minorHAnsi" w:eastAsiaTheme="minorEastAsia" w:cstheme="minorBidi"/>
          <w:b w:val="0"/>
          <w:bCs w:val="0"/>
          <w:szCs w:val="22"/>
          <w14:ligatures w14:val="standardContextual"/>
        </w:rPr>
        <w:tab/>
      </w:r>
      <w:r>
        <w:rPr>
          <w:rStyle w:val="26"/>
        </w:rPr>
        <w:t>项目概况</w:t>
      </w:r>
      <w:r>
        <w:tab/>
      </w:r>
      <w:r>
        <w:fldChar w:fldCharType="begin"/>
      </w:r>
      <w:r>
        <w:instrText xml:space="preserve"> PAGEREF _Toc155572936 \h </w:instrText>
      </w:r>
      <w:r>
        <w:fldChar w:fldCharType="separate"/>
      </w:r>
      <w:r>
        <w:t>3</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"_Toc155572937" </w:instrText>
      </w:r>
      <w:r>
        <w:fldChar w:fldCharType="separate"/>
      </w:r>
      <w:r>
        <w:rPr>
          <w:rStyle w:val="26"/>
          <w:lang w:val="en-GB"/>
        </w:rPr>
        <w:t>1.1</w:t>
      </w:r>
      <w:r>
        <w:rPr>
          <w:rFonts w:asciiTheme="minorHAnsi" w:hAnsiTheme="minorHAnsi" w:eastAsiaTheme="minorEastAsia" w:cstheme="minorBidi"/>
          <w:szCs w:val="22"/>
          <w14:ligatures w14:val="standardContextual"/>
        </w:rPr>
        <w:tab/>
      </w:r>
      <w:r>
        <w:rPr>
          <w:rStyle w:val="26"/>
        </w:rPr>
        <w:t>总平面图</w:t>
      </w:r>
      <w:r>
        <w:tab/>
      </w:r>
      <w:r>
        <w:fldChar w:fldCharType="begin"/>
      </w:r>
      <w:r>
        <w:instrText xml:space="preserve"> PAGEREF _Toc155572937 \h </w:instrText>
      </w:r>
      <w:r>
        <w:fldChar w:fldCharType="separate"/>
      </w:r>
      <w:r>
        <w:t>4</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"_Toc155572938" </w:instrText>
      </w:r>
      <w:r>
        <w:fldChar w:fldCharType="separate"/>
      </w:r>
      <w:r>
        <w:rPr>
          <w:rStyle w:val="26"/>
          <w:lang w:val="en-GB"/>
        </w:rPr>
        <w:t>1.2</w:t>
      </w:r>
      <w:r>
        <w:rPr>
          <w:rFonts w:asciiTheme="minorHAnsi" w:hAnsiTheme="minorHAnsi" w:eastAsiaTheme="minorEastAsia" w:cstheme="minorBidi"/>
          <w:szCs w:val="22"/>
          <w14:ligatures w14:val="standardContextual"/>
        </w:rPr>
        <w:tab/>
      </w:r>
      <w:r>
        <w:rPr>
          <w:rStyle w:val="26"/>
        </w:rPr>
        <w:t>三维视图</w:t>
      </w:r>
      <w:r>
        <w:tab/>
      </w:r>
      <w:r>
        <w:fldChar w:fldCharType="begin"/>
      </w:r>
      <w:r>
        <w:instrText xml:space="preserve"> PAGEREF _Toc155572938 \h </w:instrText>
      </w:r>
      <w:r>
        <w:fldChar w:fldCharType="separate"/>
      </w:r>
      <w:r>
        <w:t>5</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"_Toc155572939" </w:instrText>
      </w:r>
      <w:r>
        <w:fldChar w:fldCharType="separate"/>
      </w:r>
      <w:r>
        <w:rPr>
          <w:rStyle w:val="26"/>
        </w:rPr>
        <w:t>2</w:t>
      </w:r>
      <w:r>
        <w:rPr>
          <w:rFonts w:asciiTheme="minorHAnsi" w:hAnsiTheme="minorHAnsi" w:eastAsiaTheme="minorEastAsia" w:cstheme="minorBidi"/>
          <w:b w:val="0"/>
          <w:bCs w:val="0"/>
          <w:szCs w:val="22"/>
          <w14:ligatures w14:val="standardContextual"/>
        </w:rPr>
        <w:tab/>
      </w:r>
      <w:r>
        <w:rPr>
          <w:rStyle w:val="26"/>
        </w:rPr>
        <w:t>计算依据</w:t>
      </w:r>
      <w:r>
        <w:tab/>
      </w:r>
      <w:r>
        <w:fldChar w:fldCharType="begin"/>
      </w:r>
      <w:r>
        <w:instrText xml:space="preserve"> PAGEREF _Toc155572939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"_Toc155572940" </w:instrText>
      </w:r>
      <w:r>
        <w:fldChar w:fldCharType="separate"/>
      </w:r>
      <w:r>
        <w:rPr>
          <w:rStyle w:val="26"/>
        </w:rPr>
        <w:t>3</w:t>
      </w:r>
      <w:r>
        <w:rPr>
          <w:rFonts w:asciiTheme="minorHAnsi" w:hAnsiTheme="minorHAnsi" w:eastAsiaTheme="minorEastAsia" w:cstheme="minorBidi"/>
          <w:b w:val="0"/>
          <w:bCs w:val="0"/>
          <w:szCs w:val="22"/>
          <w14:ligatures w14:val="standardContextual"/>
        </w:rPr>
        <w:tab/>
      </w:r>
      <w:r>
        <w:rPr>
          <w:rStyle w:val="26"/>
        </w:rPr>
        <w:t>参考标准</w:t>
      </w:r>
      <w:r>
        <w:tab/>
      </w:r>
      <w:r>
        <w:fldChar w:fldCharType="begin"/>
      </w:r>
      <w:r>
        <w:instrText xml:space="preserve"> PAGEREF _Toc155572940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"_Toc155572941" </w:instrText>
      </w:r>
      <w:r>
        <w:fldChar w:fldCharType="separate"/>
      </w:r>
      <w:r>
        <w:rPr>
          <w:rStyle w:val="26"/>
        </w:rPr>
        <w:t>4</w:t>
      </w:r>
      <w:r>
        <w:rPr>
          <w:rFonts w:asciiTheme="minorHAnsi" w:hAnsiTheme="minorHAnsi" w:eastAsiaTheme="minorEastAsia" w:cstheme="minorBidi"/>
          <w:b w:val="0"/>
          <w:bCs w:val="0"/>
          <w:szCs w:val="22"/>
          <w14:ligatures w14:val="standardContextual"/>
        </w:rPr>
        <w:tab/>
      </w:r>
      <w:r>
        <w:rPr>
          <w:rStyle w:val="26"/>
        </w:rPr>
        <w:t>计算原理</w:t>
      </w:r>
      <w:r>
        <w:tab/>
      </w:r>
      <w:r>
        <w:fldChar w:fldCharType="begin"/>
      </w:r>
      <w:r>
        <w:instrText xml:space="preserve"> PAGEREF _Toc155572941 \h </w:instrText>
      </w:r>
      <w:r>
        <w:fldChar w:fldCharType="separate"/>
      </w:r>
      <w:r>
        <w:t>6</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"_Toc155572942" </w:instrText>
      </w:r>
      <w:r>
        <w:fldChar w:fldCharType="separate"/>
      </w:r>
      <w:r>
        <w:rPr>
          <w:rStyle w:val="26"/>
          <w:lang w:val="en-GB"/>
        </w:rPr>
        <w:t>4.1</w:t>
      </w:r>
      <w:r>
        <w:rPr>
          <w:rFonts w:asciiTheme="minorHAnsi" w:hAnsiTheme="minorHAnsi" w:eastAsiaTheme="minorEastAsia" w:cstheme="minorBidi"/>
          <w:szCs w:val="22"/>
          <w14:ligatures w14:val="standardContextual"/>
        </w:rPr>
        <w:tab/>
      </w:r>
      <w:r>
        <w:rPr>
          <w:rStyle w:val="26"/>
        </w:rPr>
        <w:t>风场计算域</w:t>
      </w:r>
      <w:r>
        <w:tab/>
      </w:r>
      <w:r>
        <w:fldChar w:fldCharType="begin"/>
      </w:r>
      <w:r>
        <w:instrText xml:space="preserve"> PAGEREF _Toc155572942 \h </w:instrText>
      </w:r>
      <w:r>
        <w:fldChar w:fldCharType="separate"/>
      </w:r>
      <w:r>
        <w:t>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"_Toc155572943" </w:instrText>
      </w:r>
      <w:r>
        <w:fldChar w:fldCharType="separate"/>
      </w:r>
      <w:r>
        <w:rPr>
          <w:rStyle w:val="26"/>
          <w:lang w:val="en-GB"/>
        </w:rPr>
        <w:t>4.1.1</w:t>
      </w:r>
      <w:r>
        <w:rPr>
          <w:rFonts w:asciiTheme="minorHAnsi" w:hAnsiTheme="minorHAnsi" w:eastAsiaTheme="minorEastAsia" w:cstheme="minorBidi"/>
          <w:szCs w:val="22"/>
          <w14:ligatures w14:val="standardContextual"/>
        </w:rPr>
        <w:tab/>
      </w:r>
      <w:r>
        <w:rPr>
          <w:rStyle w:val="26"/>
        </w:rPr>
        <w:t>冬季工况风场计算域</w:t>
      </w:r>
      <w:r>
        <w:tab/>
      </w:r>
      <w:r>
        <w:fldChar w:fldCharType="begin"/>
      </w:r>
      <w:r>
        <w:instrText xml:space="preserve"> PAGEREF _Toc155572943 \h </w:instrText>
      </w:r>
      <w:r>
        <w:fldChar w:fldCharType="separate"/>
      </w:r>
      <w:r>
        <w:t>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"_Toc155572944" </w:instrText>
      </w:r>
      <w:r>
        <w:fldChar w:fldCharType="separate"/>
      </w:r>
      <w:r>
        <w:rPr>
          <w:rStyle w:val="26"/>
          <w:lang w:val="en-GB"/>
        </w:rPr>
        <w:t>4.1.2</w:t>
      </w:r>
      <w:r>
        <w:rPr>
          <w:rFonts w:asciiTheme="minorHAnsi" w:hAnsiTheme="minorHAnsi" w:eastAsiaTheme="minorEastAsia" w:cstheme="minorBidi"/>
          <w:szCs w:val="22"/>
          <w14:ligatures w14:val="standardContextual"/>
        </w:rPr>
        <w:tab/>
      </w:r>
      <w:r>
        <w:rPr>
          <w:rStyle w:val="26"/>
        </w:rPr>
        <w:t>夏季工况风场计算域</w:t>
      </w:r>
      <w:r>
        <w:tab/>
      </w:r>
      <w:r>
        <w:fldChar w:fldCharType="begin"/>
      </w:r>
      <w:r>
        <w:instrText xml:space="preserve"> PAGEREF _Toc155572944 \h </w:instrText>
      </w:r>
      <w:r>
        <w:fldChar w:fldCharType="separate"/>
      </w:r>
      <w:r>
        <w:t>7</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"_Toc155572945" </w:instrText>
      </w:r>
      <w:r>
        <w:fldChar w:fldCharType="separate"/>
      </w:r>
      <w:r>
        <w:rPr>
          <w:rStyle w:val="26"/>
          <w:lang w:val="en-GB"/>
        </w:rPr>
        <w:t>4.2</w:t>
      </w:r>
      <w:r>
        <w:rPr>
          <w:rFonts w:asciiTheme="minorHAnsi" w:hAnsiTheme="minorHAnsi" w:eastAsiaTheme="minorEastAsia" w:cstheme="minorBidi"/>
          <w:szCs w:val="22"/>
          <w14:ligatures w14:val="standardContextual"/>
        </w:rPr>
        <w:tab/>
      </w:r>
      <w:r>
        <w:rPr>
          <w:rStyle w:val="26"/>
        </w:rPr>
        <w:t>网格划分</w:t>
      </w:r>
      <w:r>
        <w:tab/>
      </w:r>
      <w:r>
        <w:fldChar w:fldCharType="begin"/>
      </w:r>
      <w:r>
        <w:instrText xml:space="preserve"> PAGEREF _Toc155572945 \h </w:instrText>
      </w:r>
      <w:r>
        <w:fldChar w:fldCharType="separate"/>
      </w:r>
      <w:r>
        <w:t>8</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"_Toc155572946" </w:instrText>
      </w:r>
      <w:r>
        <w:fldChar w:fldCharType="separate"/>
      </w:r>
      <w:r>
        <w:rPr>
          <w:rStyle w:val="26"/>
          <w:lang w:val="en-GB"/>
        </w:rPr>
        <w:t>4.3</w:t>
      </w:r>
      <w:r>
        <w:rPr>
          <w:rFonts w:asciiTheme="minorHAnsi" w:hAnsiTheme="minorHAnsi" w:eastAsiaTheme="minorEastAsia" w:cstheme="minorBidi"/>
          <w:szCs w:val="22"/>
          <w14:ligatures w14:val="standardContextual"/>
        </w:rPr>
        <w:tab/>
      </w:r>
      <w:r>
        <w:rPr>
          <w:rStyle w:val="26"/>
        </w:rPr>
        <w:t>边界条件</w:t>
      </w:r>
      <w:r>
        <w:tab/>
      </w:r>
      <w:r>
        <w:fldChar w:fldCharType="begin"/>
      </w:r>
      <w:r>
        <w:instrText xml:space="preserve"> PAGEREF _Toc155572946 \h </w:instrText>
      </w:r>
      <w:r>
        <w:fldChar w:fldCharType="separate"/>
      </w:r>
      <w:r>
        <w:t>10</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"_Toc155572947" </w:instrText>
      </w:r>
      <w:r>
        <w:fldChar w:fldCharType="separate"/>
      </w:r>
      <w:r>
        <w:rPr>
          <w:rStyle w:val="26"/>
          <w:lang w:val="en-GB"/>
        </w:rPr>
        <w:t>4.3.1</w:t>
      </w:r>
      <w:r>
        <w:rPr>
          <w:rFonts w:asciiTheme="minorHAnsi" w:hAnsiTheme="minorHAnsi" w:eastAsiaTheme="minorEastAsia" w:cstheme="minorBidi"/>
          <w:szCs w:val="22"/>
          <w14:ligatures w14:val="standardContextual"/>
        </w:rPr>
        <w:tab/>
      </w:r>
      <w:r>
        <w:rPr>
          <w:rStyle w:val="26"/>
        </w:rPr>
        <w:t>入口与出口边界条件</w:t>
      </w:r>
      <w:r>
        <w:tab/>
      </w:r>
      <w:r>
        <w:fldChar w:fldCharType="begin"/>
      </w:r>
      <w:r>
        <w:instrText xml:space="preserve"> PAGEREF _Toc155572947 \h </w:instrText>
      </w:r>
      <w:r>
        <w:fldChar w:fldCharType="separate"/>
      </w:r>
      <w:r>
        <w:t>10</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"_Toc155572948" </w:instrText>
      </w:r>
      <w:r>
        <w:fldChar w:fldCharType="separate"/>
      </w:r>
      <w:r>
        <w:rPr>
          <w:rStyle w:val="26"/>
          <w:lang w:val="en-GB"/>
        </w:rPr>
        <w:t>4.3.2</w:t>
      </w:r>
      <w:r>
        <w:rPr>
          <w:rFonts w:asciiTheme="minorHAnsi" w:hAnsiTheme="minorHAnsi" w:eastAsiaTheme="minorEastAsia" w:cstheme="minorBidi"/>
          <w:szCs w:val="22"/>
          <w14:ligatures w14:val="standardContextual"/>
        </w:rPr>
        <w:tab/>
      </w:r>
      <w:r>
        <w:rPr>
          <w:rStyle w:val="26"/>
        </w:rPr>
        <w:t>壁面边界条件</w:t>
      </w:r>
      <w:r>
        <w:tab/>
      </w:r>
      <w:r>
        <w:fldChar w:fldCharType="begin"/>
      </w:r>
      <w:r>
        <w:instrText xml:space="preserve"> PAGEREF _Toc155572948 \h </w:instrText>
      </w:r>
      <w:r>
        <w:fldChar w:fldCharType="separate"/>
      </w:r>
      <w:r>
        <w:t>11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"_Toc155572949" </w:instrText>
      </w:r>
      <w:r>
        <w:fldChar w:fldCharType="separate"/>
      </w:r>
      <w:r>
        <w:rPr>
          <w:rStyle w:val="26"/>
          <w:lang w:val="en-GB"/>
        </w:rPr>
        <w:t>4.4</w:t>
      </w:r>
      <w:r>
        <w:rPr>
          <w:rFonts w:asciiTheme="minorHAnsi" w:hAnsiTheme="minorHAnsi" w:eastAsiaTheme="minorEastAsia" w:cstheme="minorBidi"/>
          <w:szCs w:val="22"/>
          <w14:ligatures w14:val="standardContextual"/>
        </w:rPr>
        <w:tab/>
      </w:r>
      <w:r>
        <w:rPr>
          <w:rStyle w:val="26"/>
        </w:rPr>
        <w:t>湍流模型</w:t>
      </w:r>
      <w:r>
        <w:tab/>
      </w:r>
      <w:r>
        <w:fldChar w:fldCharType="begin"/>
      </w:r>
      <w:r>
        <w:instrText xml:space="preserve"> PAGEREF _Toc155572949 \h </w:instrText>
      </w:r>
      <w:r>
        <w:fldChar w:fldCharType="separate"/>
      </w:r>
      <w:r>
        <w:t>11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"_Toc155572950" </w:instrText>
      </w:r>
      <w:r>
        <w:fldChar w:fldCharType="separate"/>
      </w:r>
      <w:r>
        <w:rPr>
          <w:rStyle w:val="26"/>
          <w:lang w:val="en-GB"/>
        </w:rPr>
        <w:t>4.5</w:t>
      </w:r>
      <w:r>
        <w:rPr>
          <w:rFonts w:asciiTheme="minorHAnsi" w:hAnsiTheme="minorHAnsi" w:eastAsiaTheme="minorEastAsia" w:cstheme="minorBidi"/>
          <w:szCs w:val="22"/>
          <w14:ligatures w14:val="standardContextual"/>
        </w:rPr>
        <w:tab/>
      </w:r>
      <w:r>
        <w:rPr>
          <w:rStyle w:val="26"/>
        </w:rPr>
        <w:t>求解计算</w:t>
      </w:r>
      <w:r>
        <w:tab/>
      </w:r>
      <w:r>
        <w:fldChar w:fldCharType="begin"/>
      </w:r>
      <w:r>
        <w:instrText xml:space="preserve"> PAGEREF _Toc155572950 \h </w:instrText>
      </w:r>
      <w:r>
        <w:fldChar w:fldCharType="separate"/>
      </w:r>
      <w:r>
        <w:t>12</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"_Toc155572951" </w:instrText>
      </w:r>
      <w:r>
        <w:fldChar w:fldCharType="separate"/>
      </w:r>
      <w:r>
        <w:rPr>
          <w:rStyle w:val="26"/>
          <w:lang w:val="en-GB"/>
        </w:rPr>
        <w:t>4.6</w:t>
      </w:r>
      <w:r>
        <w:rPr>
          <w:rFonts w:asciiTheme="minorHAnsi" w:hAnsiTheme="minorHAnsi" w:eastAsiaTheme="minorEastAsia" w:cstheme="minorBidi"/>
          <w:szCs w:val="22"/>
          <w14:ligatures w14:val="standardContextual"/>
        </w:rPr>
        <w:tab/>
      </w:r>
      <w:r>
        <w:rPr>
          <w:rStyle w:val="26"/>
        </w:rPr>
        <w:t>风速放大系数计算</w:t>
      </w:r>
      <w:r>
        <w:tab/>
      </w:r>
      <w:r>
        <w:fldChar w:fldCharType="begin"/>
      </w:r>
      <w:r>
        <w:instrText xml:space="preserve"> PAGEREF _Toc155572951 \h </w:instrText>
      </w:r>
      <w:r>
        <w:fldChar w:fldCharType="separate"/>
      </w:r>
      <w:r>
        <w:t>13</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"_Toc155572952" </w:instrText>
      </w:r>
      <w:r>
        <w:fldChar w:fldCharType="separate"/>
      </w:r>
      <w:r>
        <w:rPr>
          <w:rStyle w:val="26"/>
        </w:rPr>
        <w:t>5</w:t>
      </w:r>
      <w:r>
        <w:rPr>
          <w:rFonts w:asciiTheme="minorHAnsi" w:hAnsiTheme="minorHAnsi" w:eastAsiaTheme="minorEastAsia" w:cstheme="minorBidi"/>
          <w:b w:val="0"/>
          <w:bCs w:val="0"/>
          <w:szCs w:val="22"/>
          <w14:ligatures w14:val="standardContextual"/>
        </w:rPr>
        <w:tab/>
      </w:r>
      <w:r>
        <w:rPr>
          <w:rStyle w:val="26"/>
        </w:rPr>
        <w:t>结果分析</w:t>
      </w:r>
      <w:r>
        <w:tab/>
      </w:r>
      <w:r>
        <w:fldChar w:fldCharType="begin"/>
      </w:r>
      <w:r>
        <w:instrText xml:space="preserve"> PAGEREF _Toc155572952 \h </w:instrText>
      </w:r>
      <w:r>
        <w:fldChar w:fldCharType="separate"/>
      </w:r>
      <w:r>
        <w:t>14</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"_Toc155572953" </w:instrText>
      </w:r>
      <w:r>
        <w:fldChar w:fldCharType="separate"/>
      </w:r>
      <w:r>
        <w:rPr>
          <w:rStyle w:val="26"/>
          <w:lang w:val="en-GB"/>
        </w:rPr>
        <w:t>5.1</w:t>
      </w:r>
      <w:r>
        <w:rPr>
          <w:rFonts w:asciiTheme="minorHAnsi" w:hAnsiTheme="minorHAnsi" w:eastAsiaTheme="minorEastAsia" w:cstheme="minorBidi"/>
          <w:szCs w:val="22"/>
          <w14:ligatures w14:val="standardContextual"/>
        </w:rPr>
        <w:tab/>
      </w:r>
      <w:r>
        <w:rPr>
          <w:rStyle w:val="26"/>
        </w:rPr>
        <w:t>工况表</w:t>
      </w:r>
      <w:r>
        <w:tab/>
      </w:r>
      <w:r>
        <w:fldChar w:fldCharType="begin"/>
      </w:r>
      <w:r>
        <w:instrText xml:space="preserve"> PAGEREF _Toc155572953 \h </w:instrText>
      </w:r>
      <w:r>
        <w:fldChar w:fldCharType="separate"/>
      </w:r>
      <w:r>
        <w:t>14</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"_Toc155572954" </w:instrText>
      </w:r>
      <w:r>
        <w:fldChar w:fldCharType="separate"/>
      </w:r>
      <w:r>
        <w:rPr>
          <w:rStyle w:val="26"/>
          <w:lang w:val="en-GB"/>
        </w:rPr>
        <w:t>5.2</w:t>
      </w:r>
      <w:r>
        <w:rPr>
          <w:rFonts w:asciiTheme="minorHAnsi" w:hAnsiTheme="minorHAnsi" w:eastAsiaTheme="minorEastAsia" w:cstheme="minorBidi"/>
          <w:szCs w:val="22"/>
          <w14:ligatures w14:val="standardContextual"/>
        </w:rPr>
        <w:tab/>
      </w:r>
      <w:r>
        <w:rPr>
          <w:rStyle w:val="26"/>
        </w:rPr>
        <w:t>冬季工况</w:t>
      </w:r>
      <w:r>
        <w:tab/>
      </w:r>
      <w:r>
        <w:fldChar w:fldCharType="begin"/>
      </w:r>
      <w:r>
        <w:instrText xml:space="preserve"> PAGEREF _Toc155572954 \h </w:instrText>
      </w:r>
      <w:r>
        <w:fldChar w:fldCharType="separate"/>
      </w:r>
      <w:r>
        <w:t>14</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"_Toc155572955" </w:instrText>
      </w:r>
      <w:r>
        <w:fldChar w:fldCharType="separate"/>
      </w:r>
      <w:r>
        <w:rPr>
          <w:rStyle w:val="26"/>
          <w:lang w:val="en-GB"/>
        </w:rPr>
        <w:t>5.2.1</w:t>
      </w:r>
      <w:r>
        <w:rPr>
          <w:rFonts w:asciiTheme="minorHAnsi" w:hAnsiTheme="minorHAnsi" w:eastAsiaTheme="minorEastAsia" w:cstheme="minorBidi"/>
          <w:szCs w:val="22"/>
          <w14:ligatures w14:val="standardContextual"/>
        </w:rPr>
        <w:tab/>
      </w:r>
      <w:r>
        <w:rPr>
          <w:rStyle w:val="26"/>
        </w:rPr>
        <w:t>风速达标分析</w:t>
      </w:r>
      <w:r>
        <w:tab/>
      </w:r>
      <w:r>
        <w:fldChar w:fldCharType="begin"/>
      </w:r>
      <w:r>
        <w:instrText xml:space="preserve"> PAGEREF _Toc155572955 \h </w:instrText>
      </w:r>
      <w:r>
        <w:fldChar w:fldCharType="separate"/>
      </w:r>
      <w:r>
        <w:t>14</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"_Toc155572956" </w:instrText>
      </w:r>
      <w:r>
        <w:fldChar w:fldCharType="separate"/>
      </w:r>
      <w:r>
        <w:rPr>
          <w:rStyle w:val="26"/>
          <w:lang w:val="en-GB"/>
        </w:rPr>
        <w:t>5.2.2</w:t>
      </w:r>
      <w:r>
        <w:rPr>
          <w:rFonts w:asciiTheme="minorHAnsi" w:hAnsiTheme="minorHAnsi" w:eastAsiaTheme="minorEastAsia" w:cstheme="minorBidi"/>
          <w:szCs w:val="22"/>
          <w14:ligatures w14:val="standardContextual"/>
        </w:rPr>
        <w:tab/>
      </w:r>
      <w:r>
        <w:rPr>
          <w:rStyle w:val="26"/>
        </w:rPr>
        <w:t>风速放大系数达标分析</w:t>
      </w:r>
      <w:r>
        <w:tab/>
      </w:r>
      <w:r>
        <w:fldChar w:fldCharType="begin"/>
      </w:r>
      <w:r>
        <w:instrText xml:space="preserve"> PAGEREF _Toc155572956 \h </w:instrText>
      </w:r>
      <w:r>
        <w:fldChar w:fldCharType="separate"/>
      </w:r>
      <w:r>
        <w:t>15</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"_Toc155572957" </w:instrText>
      </w:r>
      <w:r>
        <w:fldChar w:fldCharType="separate"/>
      </w:r>
      <w:r>
        <w:rPr>
          <w:rStyle w:val="26"/>
          <w:lang w:val="en-GB"/>
        </w:rPr>
        <w:t>5.2.3</w:t>
      </w:r>
      <w:r>
        <w:rPr>
          <w:rFonts w:asciiTheme="minorHAnsi" w:hAnsiTheme="minorHAnsi" w:eastAsiaTheme="minorEastAsia" w:cstheme="minorBidi"/>
          <w:szCs w:val="22"/>
          <w14:ligatures w14:val="standardContextual"/>
        </w:rPr>
        <w:tab/>
      </w:r>
      <w:r>
        <w:rPr>
          <w:rStyle w:val="26"/>
        </w:rPr>
        <w:t>冬季工况风速/风速放大系数达标结果汇总</w:t>
      </w:r>
      <w:r>
        <w:tab/>
      </w:r>
      <w:r>
        <w:fldChar w:fldCharType="begin"/>
      </w:r>
      <w:r>
        <w:instrText xml:space="preserve"> PAGEREF _Toc155572957 \h </w:instrText>
      </w:r>
      <w:r>
        <w:fldChar w:fldCharType="separate"/>
      </w:r>
      <w:r>
        <w:t>16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"_Toc155572958" </w:instrText>
      </w:r>
      <w:r>
        <w:fldChar w:fldCharType="separate"/>
      </w:r>
      <w:r>
        <w:rPr>
          <w:rStyle w:val="26"/>
          <w:lang w:val="en-GB"/>
        </w:rPr>
        <w:t>5.2.4</w:t>
      </w:r>
      <w:r>
        <w:rPr>
          <w:rFonts w:asciiTheme="minorHAnsi" w:hAnsiTheme="minorHAnsi" w:eastAsiaTheme="minorEastAsia" w:cstheme="minorBidi"/>
          <w:szCs w:val="22"/>
          <w14:ligatures w14:val="standardContextual"/>
        </w:rPr>
        <w:tab/>
      </w:r>
      <w:r>
        <w:rPr>
          <w:rStyle w:val="26"/>
        </w:rPr>
        <w:t>建筑迎风面和背风面风压分析</w:t>
      </w:r>
      <w:r>
        <w:tab/>
      </w:r>
      <w:r>
        <w:fldChar w:fldCharType="begin"/>
      </w:r>
      <w:r>
        <w:instrText xml:space="preserve"> PAGEREF _Toc155572958 \h </w:instrText>
      </w:r>
      <w:r>
        <w:fldChar w:fldCharType="separate"/>
      </w:r>
      <w:r>
        <w:t>16</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"_Toc155572959" </w:instrText>
      </w:r>
      <w:r>
        <w:fldChar w:fldCharType="separate"/>
      </w:r>
      <w:r>
        <w:rPr>
          <w:rStyle w:val="26"/>
          <w:lang w:val="en-GB"/>
        </w:rPr>
        <w:t>5.3</w:t>
      </w:r>
      <w:r>
        <w:rPr>
          <w:rFonts w:asciiTheme="minorHAnsi" w:hAnsiTheme="minorHAnsi" w:eastAsiaTheme="minorEastAsia" w:cstheme="minorBidi"/>
          <w:szCs w:val="22"/>
          <w14:ligatures w14:val="standardContextual"/>
        </w:rPr>
        <w:tab/>
      </w:r>
      <w:r>
        <w:rPr>
          <w:rStyle w:val="26"/>
        </w:rPr>
        <w:t>夏季工况</w:t>
      </w:r>
      <w:r>
        <w:tab/>
      </w:r>
      <w:r>
        <w:fldChar w:fldCharType="begin"/>
      </w:r>
      <w:r>
        <w:instrText xml:space="preserve"> PAGEREF _Toc155572959 \h </w:instrText>
      </w:r>
      <w:r>
        <w:fldChar w:fldCharType="separate"/>
      </w:r>
      <w:r>
        <w:t>18</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"_Toc155572960" </w:instrText>
      </w:r>
      <w:r>
        <w:fldChar w:fldCharType="separate"/>
      </w:r>
      <w:r>
        <w:rPr>
          <w:rStyle w:val="26"/>
          <w:lang w:val="en-GB"/>
        </w:rPr>
        <w:t>5.3.1</w:t>
      </w:r>
      <w:r>
        <w:rPr>
          <w:rFonts w:asciiTheme="minorHAnsi" w:hAnsiTheme="minorHAnsi" w:eastAsiaTheme="minorEastAsia" w:cstheme="minorBidi"/>
          <w:szCs w:val="22"/>
          <w14:ligatures w14:val="standardContextual"/>
        </w:rPr>
        <w:tab/>
      </w:r>
      <w:r>
        <w:rPr>
          <w:rStyle w:val="26"/>
        </w:rPr>
        <w:t>无风区计算分析</w:t>
      </w:r>
      <w:r>
        <w:tab/>
      </w:r>
      <w:r>
        <w:fldChar w:fldCharType="begin"/>
      </w:r>
      <w:r>
        <w:instrText xml:space="preserve"> PAGEREF _Toc155572960 \h </w:instrText>
      </w:r>
      <w:r>
        <w:fldChar w:fldCharType="separate"/>
      </w:r>
      <w:r>
        <w:t>19</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"_Toc155572961" </w:instrText>
      </w:r>
      <w:r>
        <w:fldChar w:fldCharType="separate"/>
      </w:r>
      <w:r>
        <w:rPr>
          <w:rStyle w:val="26"/>
          <w:lang w:val="en-GB"/>
        </w:rPr>
        <w:t>5.3.2</w:t>
      </w:r>
      <w:r>
        <w:rPr>
          <w:rFonts w:asciiTheme="minorHAnsi" w:hAnsiTheme="minorHAnsi" w:eastAsiaTheme="minorEastAsia" w:cstheme="minorBidi"/>
          <w:szCs w:val="22"/>
          <w14:ligatures w14:val="standardContextual"/>
        </w:rPr>
        <w:tab/>
      </w:r>
      <w:r>
        <w:rPr>
          <w:rStyle w:val="26"/>
        </w:rPr>
        <w:t>旋涡区分析</w:t>
      </w:r>
      <w:r>
        <w:tab/>
      </w:r>
      <w:r>
        <w:fldChar w:fldCharType="begin"/>
      </w:r>
      <w:r>
        <w:instrText xml:space="preserve"> PAGEREF _Toc155572961 \h </w:instrText>
      </w:r>
      <w:r>
        <w:fldChar w:fldCharType="separate"/>
      </w:r>
      <w:r>
        <w:t>19</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"_Toc155572962" </w:instrText>
      </w:r>
      <w:r>
        <w:fldChar w:fldCharType="separate"/>
      </w:r>
      <w:r>
        <w:rPr>
          <w:rStyle w:val="26"/>
          <w:lang w:val="en-GB"/>
        </w:rPr>
        <w:t>5.3.3</w:t>
      </w:r>
      <w:r>
        <w:rPr>
          <w:rFonts w:asciiTheme="minorHAnsi" w:hAnsiTheme="minorHAnsi" w:eastAsiaTheme="minorEastAsia" w:cstheme="minorBidi"/>
          <w:szCs w:val="22"/>
          <w14:ligatures w14:val="standardContextual"/>
        </w:rPr>
        <w:tab/>
      </w:r>
      <w:r>
        <w:rPr>
          <w:rStyle w:val="26"/>
        </w:rPr>
        <w:t>旋涡区/无风区达标结果汇总</w:t>
      </w:r>
      <w:r>
        <w:tab/>
      </w:r>
      <w:r>
        <w:fldChar w:fldCharType="begin"/>
      </w:r>
      <w:r>
        <w:instrText xml:space="preserve"> PAGEREF _Toc155572962 \h </w:instrText>
      </w:r>
      <w:r>
        <w:fldChar w:fldCharType="separate"/>
      </w:r>
      <w:r>
        <w:t>20</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"_Toc155572963" </w:instrText>
      </w:r>
      <w:r>
        <w:fldChar w:fldCharType="separate"/>
      </w:r>
      <w:r>
        <w:rPr>
          <w:rStyle w:val="26"/>
          <w:lang w:val="en-GB"/>
        </w:rPr>
        <w:t>5.3.4</w:t>
      </w:r>
      <w:r>
        <w:rPr>
          <w:rFonts w:asciiTheme="minorHAnsi" w:hAnsiTheme="minorHAnsi" w:eastAsiaTheme="minorEastAsia" w:cstheme="minorBidi"/>
          <w:szCs w:val="22"/>
          <w14:ligatures w14:val="standardContextual"/>
        </w:rPr>
        <w:tab/>
      </w:r>
      <w:r>
        <w:rPr>
          <w:rStyle w:val="26"/>
        </w:rPr>
        <w:t>外窗内外表面风压差达标分析</w:t>
      </w:r>
      <w:r>
        <w:tab/>
      </w:r>
      <w:r>
        <w:fldChar w:fldCharType="begin"/>
      </w:r>
      <w:r>
        <w:instrText xml:space="preserve"> PAGEREF _Toc155572963 \h </w:instrText>
      </w:r>
      <w:r>
        <w:fldChar w:fldCharType="separate"/>
      </w:r>
      <w:r>
        <w:t>20</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"_Toc155572964" </w:instrText>
      </w:r>
      <w:r>
        <w:fldChar w:fldCharType="separate"/>
      </w:r>
      <w:r>
        <w:rPr>
          <w:rStyle w:val="26"/>
          <w:lang w:val="en-GB"/>
        </w:rPr>
        <w:t>5.4</w:t>
      </w:r>
      <w:r>
        <w:rPr>
          <w:rFonts w:asciiTheme="minorHAnsi" w:hAnsiTheme="minorHAnsi" w:eastAsiaTheme="minorEastAsia" w:cstheme="minorBidi"/>
          <w:szCs w:val="22"/>
          <w14:ligatures w14:val="standardContextual"/>
        </w:rPr>
        <w:tab/>
      </w:r>
      <w:r>
        <w:rPr>
          <w:rStyle w:val="26"/>
        </w:rPr>
        <w:t>结论</w:t>
      </w:r>
      <w:r>
        <w:tab/>
      </w:r>
      <w:r>
        <w:fldChar w:fldCharType="begin"/>
      </w:r>
      <w:r>
        <w:instrText xml:space="preserve"> PAGEREF _Toc155572964 \h </w:instrText>
      </w:r>
      <w:r>
        <w:fldChar w:fldCharType="separate"/>
      </w:r>
      <w:r>
        <w:t>21</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"_Toc155572965" </w:instrText>
      </w:r>
      <w:r>
        <w:fldChar w:fldCharType="separate"/>
      </w:r>
      <w:r>
        <w:rPr>
          <w:rStyle w:val="26"/>
          <w:lang w:val="en-GB"/>
        </w:rPr>
        <w:t>5.4.1</w:t>
      </w:r>
      <w:r>
        <w:rPr>
          <w:rFonts w:asciiTheme="minorHAnsi" w:hAnsiTheme="minorHAnsi" w:eastAsiaTheme="minorEastAsia" w:cstheme="minorBidi"/>
          <w:szCs w:val="22"/>
          <w14:ligatures w14:val="standardContextual"/>
        </w:rPr>
        <w:tab/>
      </w:r>
      <w:r>
        <w:rPr>
          <w:rStyle w:val="26"/>
        </w:rPr>
        <w:t>冬季工况达标判断</w:t>
      </w:r>
      <w:r>
        <w:tab/>
      </w:r>
      <w:r>
        <w:fldChar w:fldCharType="begin"/>
      </w:r>
      <w:r>
        <w:instrText xml:space="preserve"> PAGEREF _Toc155572965 \h </w:instrText>
      </w:r>
      <w:r>
        <w:fldChar w:fldCharType="separate"/>
      </w:r>
      <w:r>
        <w:t>21</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"_Toc155572966" </w:instrText>
      </w:r>
      <w:r>
        <w:fldChar w:fldCharType="separate"/>
      </w:r>
      <w:r>
        <w:rPr>
          <w:rStyle w:val="26"/>
          <w:lang w:val="en-GB"/>
        </w:rPr>
        <w:t>5.4.2</w:t>
      </w:r>
      <w:r>
        <w:rPr>
          <w:rFonts w:asciiTheme="minorHAnsi" w:hAnsiTheme="minorHAnsi" w:eastAsiaTheme="minorEastAsia" w:cstheme="minorBidi"/>
          <w:szCs w:val="22"/>
          <w14:ligatures w14:val="standardContextual"/>
        </w:rPr>
        <w:tab/>
      </w:r>
      <w:r>
        <w:rPr>
          <w:rStyle w:val="26"/>
        </w:rPr>
        <w:t>过渡季、夏季工况达标判断</w:t>
      </w:r>
      <w:r>
        <w:tab/>
      </w:r>
      <w:r>
        <w:fldChar w:fldCharType="begin"/>
      </w:r>
      <w:r>
        <w:instrText xml:space="preserve"> PAGEREF _Toc155572966 \h </w:instrText>
      </w:r>
      <w:r>
        <w:fldChar w:fldCharType="separate"/>
      </w:r>
      <w:r>
        <w:t>22</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11" w:name="_Toc452108759"/>
      <w:bookmarkStart w:id="12" w:name="_Toc155572936"/>
      <w:r>
        <w:rPr>
          <w:rFonts w:hint="eastAsia"/>
        </w:rPr>
        <w:t>项目概况</w:t>
      </w:r>
      <w:bookmarkEnd w:id="11"/>
      <w:bookmarkEnd w:id="12"/>
    </w:p>
    <w:p>
      <w:pPr>
        <w:pStyle w:val="3"/>
        <w:ind w:firstLine="420"/>
        <w:rPr>
          <w:lang w:val="en-US"/>
        </w:rPr>
      </w:pPr>
      <w:bookmarkStart w:id="13" w:name="项目概况"/>
      <w:bookmarkEnd w:id="13"/>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4" w:name="_Toc452108760"/>
      <w:bookmarkStart w:id="15" w:name="_Toc155572937"/>
      <w:r>
        <w:rPr>
          <w:rFonts w:hint="eastAsia"/>
        </w:rPr>
        <w:t>总</w:t>
      </w:r>
      <w:r>
        <w:t>平面图</w:t>
      </w:r>
      <w:bookmarkEnd w:id="14"/>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6"/>
        <w:gridCol w:w="1275"/>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6" w:name="总平面图图例表"/>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76"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FFFFE7"/>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76"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bookmarkEnd w:id="16"/>
    </w:tbl>
    <w:p>
      <w:pPr>
        <w:pStyle w:val="3"/>
        <w:ind w:firstLine="0" w:firstLineChars="0"/>
        <w:jc w:val="center"/>
        <w:rPr>
          <w:lang w:val="en-US"/>
        </w:rPr>
      </w:pPr>
      <w:r>
        <w:rPr>
          <w:rFonts w:hint="eastAsia"/>
          <w:lang w:val="en-US"/>
        </w:rPr>
        <w:t xml:space="preserve"> </w:t>
      </w:r>
      <w:bookmarkStart w:id="17" w:name="总平面图"/>
      <w:bookmarkEnd w:id="17"/>
      <w:r>
        <w:drawing>
          <wp:inline distT="0" distB="0" distL="0" distR="0">
            <wp:extent cx="5667375" cy="3419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341947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8" w:name="_Toc452108761"/>
      <w:bookmarkStart w:id="19" w:name="_Toc155572938"/>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290"/>
        <w:gridCol w:w="1290"/>
        <w:gridCol w:w="1290"/>
        <w:gridCol w:w="129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20" w:name="三维视图图例表"/>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FFFFE7"/>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bookmarkEnd w:id="20"/>
    </w:tbl>
    <w:p>
      <w:pPr>
        <w:pStyle w:val="3"/>
        <w:ind w:firstLine="0" w:firstLineChars="0"/>
        <w:jc w:val="center"/>
        <w:rPr>
          <w:rFonts w:hint="eastAsia"/>
          <w:lang w:val="en-US"/>
        </w:rPr>
      </w:pPr>
      <w:r>
        <w:rPr>
          <w:rFonts w:hint="eastAsia"/>
          <w:lang w:val="en-US"/>
        </w:rPr>
        <w:t xml:space="preserve"> </w:t>
      </w:r>
      <w:bookmarkStart w:id="21" w:name="三维视图"/>
      <w:bookmarkEnd w:id="21"/>
    </w:p>
    <w:p>
      <w:pPr>
        <w:pStyle w:val="3"/>
        <w:ind w:firstLine="0" w:firstLineChars="0"/>
        <w:jc w:val="center"/>
        <w:rPr>
          <w:rFonts w:hint="eastAsia"/>
          <w:lang w:val="en-US"/>
        </w:rPr>
      </w:pPr>
    </w:p>
    <w:p>
      <w:pPr>
        <w:pStyle w:val="3"/>
        <w:ind w:firstLine="0" w:firstLineChars="0"/>
        <w:jc w:val="center"/>
        <w:rPr>
          <w:rFonts w:hint="eastAsia"/>
          <w:lang w:val="en-US"/>
        </w:rPr>
      </w:pPr>
      <w:r>
        <w:rPr>
          <w:rFonts w:hint="eastAsia" w:eastAsia="宋体"/>
          <w:lang w:val="en-US" w:eastAsia="zh-CN"/>
        </w:rPr>
        <w:drawing>
          <wp:anchor distT="0" distB="0" distL="114300" distR="114300" simplePos="0" relativeHeight="251661312" behindDoc="0" locked="0" layoutInCell="1" allowOverlap="1">
            <wp:simplePos x="0" y="0"/>
            <wp:positionH relativeFrom="column">
              <wp:posOffset>527685</wp:posOffset>
            </wp:positionH>
            <wp:positionV relativeFrom="paragraph">
              <wp:posOffset>12700</wp:posOffset>
            </wp:positionV>
            <wp:extent cx="5670550" cy="3429000"/>
            <wp:effectExtent l="0" t="0" r="6350" b="0"/>
            <wp:wrapNone/>
            <wp:docPr id="46" name="图片 46" descr="f24a01fdb919407fb6509966d9d4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24a01fdb919407fb6509966d9d4e81"/>
                    <pic:cNvPicPr>
                      <a:picLocks noChangeAspect="1"/>
                    </pic:cNvPicPr>
                  </pic:nvPicPr>
                  <pic:blipFill>
                    <a:blip r:embed="rId11"/>
                    <a:stretch>
                      <a:fillRect/>
                    </a:stretch>
                  </pic:blipFill>
                  <pic:spPr>
                    <a:xfrm>
                      <a:off x="0" y="0"/>
                      <a:ext cx="5670550" cy="3429000"/>
                    </a:xfrm>
                    <a:prstGeom prst="rect">
                      <a:avLst/>
                    </a:prstGeom>
                  </pic:spPr>
                </pic:pic>
              </a:graphicData>
            </a:graphic>
          </wp:anchor>
        </w:drawing>
      </w:r>
    </w:p>
    <w:p>
      <w:pPr>
        <w:pStyle w:val="3"/>
        <w:ind w:firstLine="0" w:firstLineChars="0"/>
        <w:jc w:val="center"/>
        <w:rPr>
          <w:rFonts w:hint="eastAsia"/>
          <w:lang w:val="en-US"/>
        </w:rPr>
      </w:pPr>
    </w:p>
    <w:p>
      <w:pPr>
        <w:pStyle w:val="3"/>
        <w:ind w:firstLine="0" w:firstLineChars="0"/>
        <w:jc w:val="center"/>
        <w:rPr>
          <w:rFonts w:hint="eastAsia"/>
          <w:lang w:val="en-US"/>
        </w:rPr>
      </w:pPr>
    </w:p>
    <w:p>
      <w:pPr>
        <w:pStyle w:val="3"/>
        <w:ind w:firstLine="0" w:firstLineChars="0"/>
        <w:jc w:val="center"/>
        <w:rPr>
          <w:rFonts w:hint="eastAsia"/>
          <w:lang w:val="en-US"/>
        </w:rPr>
      </w:pPr>
    </w:p>
    <w:p>
      <w:pPr>
        <w:pStyle w:val="3"/>
        <w:ind w:firstLine="0" w:firstLineChars="0"/>
        <w:jc w:val="center"/>
        <w:rPr>
          <w:rFonts w:hint="eastAsia"/>
          <w:lang w:val="en-US"/>
        </w:rPr>
      </w:pPr>
    </w:p>
    <w:p>
      <w:pPr>
        <w:pStyle w:val="3"/>
        <w:ind w:firstLine="0" w:firstLineChars="0"/>
        <w:jc w:val="center"/>
        <w:rPr>
          <w:rFonts w:hint="eastAsia"/>
          <w:lang w:val="en-US"/>
        </w:rPr>
      </w:pPr>
    </w:p>
    <w:p>
      <w:pPr>
        <w:pStyle w:val="3"/>
        <w:ind w:firstLine="0" w:firstLineChars="0"/>
        <w:jc w:val="center"/>
        <w:rPr>
          <w:rFonts w:hint="eastAsia" w:eastAsia="宋体"/>
          <w:lang w:val="en-US" w:eastAsia="zh-CN"/>
        </w:rPr>
      </w:pPr>
    </w:p>
    <w:p>
      <w:pPr>
        <w:pStyle w:val="3"/>
        <w:ind w:firstLine="0" w:firstLineChars="0"/>
        <w:jc w:val="center"/>
        <w:rPr>
          <w:rFonts w:hint="eastAsia"/>
          <w:lang w:val="en-US"/>
        </w:rPr>
      </w:pPr>
    </w:p>
    <w:p>
      <w:pPr>
        <w:pStyle w:val="3"/>
        <w:ind w:firstLine="0" w:firstLineChars="0"/>
        <w:jc w:val="center"/>
        <w:rPr>
          <w:rFonts w:hint="eastAsia"/>
          <w:lang w:val="en-US"/>
        </w:rPr>
      </w:pPr>
    </w:p>
    <w:p>
      <w:pPr>
        <w:pStyle w:val="3"/>
        <w:ind w:firstLine="0" w:firstLineChars="0"/>
        <w:jc w:val="center"/>
        <w:rPr>
          <w:rFonts w:hint="eastAsia"/>
          <w:lang w:val="en-US"/>
        </w:rPr>
      </w:pPr>
    </w:p>
    <w:p>
      <w:pPr>
        <w:pStyle w:val="3"/>
        <w:ind w:firstLine="0" w:firstLineChars="0"/>
        <w:jc w:val="center"/>
        <w:rPr>
          <w:rFonts w:hint="eastAsia"/>
          <w:lang w:val="en-US"/>
        </w:rPr>
      </w:pPr>
    </w:p>
    <w:p>
      <w:pPr>
        <w:pStyle w:val="3"/>
        <w:ind w:firstLine="0" w:firstLineChars="0"/>
        <w:jc w:val="center"/>
        <w:rPr>
          <w:rFonts w:hint="eastAsia"/>
          <w:lang w:val="en-US"/>
        </w:rPr>
      </w:pPr>
    </w:p>
    <w:p>
      <w:pPr>
        <w:pStyle w:val="3"/>
        <w:ind w:firstLine="0" w:firstLineChars="0"/>
        <w:jc w:val="center"/>
        <w:rPr>
          <w:rFonts w:hint="eastAsia"/>
          <w:lang w:val="en-US"/>
        </w:rPr>
      </w:pPr>
    </w:p>
    <w:p>
      <w:pPr>
        <w:pStyle w:val="3"/>
        <w:ind w:firstLine="0" w:firstLineChars="0"/>
        <w:jc w:val="center"/>
        <w:rPr>
          <w:rFonts w:hint="eastAsia"/>
          <w:lang w:val="en-US"/>
        </w:rPr>
      </w:pPr>
    </w:p>
    <w:p>
      <w:pPr>
        <w:pStyle w:val="3"/>
        <w:ind w:firstLine="0" w:firstLineChars="0"/>
        <w:jc w:val="center"/>
        <w:rPr>
          <w:rFonts w:hint="eastAsia"/>
          <w:lang w:val="en-US" w:eastAsia="zh-CN"/>
        </w:rPr>
      </w:pP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2" w:name="_Toc155572939"/>
      <w:bookmarkStart w:id="23" w:name="_Toc452108762"/>
      <w:bookmarkStart w:id="24" w:name="TitleFormat"/>
      <w:r>
        <w:rPr>
          <w:rFonts w:hint="eastAsia"/>
        </w:rPr>
        <w:t>计算</w:t>
      </w:r>
      <w:r>
        <w:t>依据</w:t>
      </w:r>
      <w:bookmarkEnd w:id="22"/>
      <w:bookmarkEnd w:id="23"/>
      <w:bookmarkEnd w:id="24"/>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5" w:name="参考标准名称1"/>
      <w:r>
        <w:rPr>
          <w:rFonts w:hint="eastAsia"/>
          <w:lang w:val="en-US"/>
        </w:rPr>
        <w:t>《绿色建筑评价标准》GB/T50378-2019</w:t>
      </w:r>
      <w:bookmarkEnd w:id="25"/>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6" w:name="_Toc452108763"/>
      <w:bookmarkStart w:id="27" w:name="_Toc155572940"/>
      <w:r>
        <w:rPr>
          <w:rFonts w:hint="eastAsia"/>
        </w:rPr>
        <w:t>参考</w:t>
      </w:r>
      <w:r>
        <w:t>标准</w:t>
      </w:r>
      <w:bookmarkEnd w:id="26"/>
      <w:bookmarkEnd w:id="27"/>
    </w:p>
    <w:p>
      <w:pPr>
        <w:pStyle w:val="3"/>
        <w:ind w:firstLine="420"/>
        <w:rPr>
          <w:lang w:val="en-US"/>
        </w:rPr>
      </w:pPr>
      <w:r>
        <w:rPr>
          <w:rFonts w:hint="eastAsia"/>
          <w:lang w:val="en-US"/>
        </w:rPr>
        <w:t>室外风环境评价依据为</w:t>
      </w:r>
      <w:bookmarkStart w:id="28" w:name="参考标准名称2"/>
      <w:r>
        <w:rPr>
          <w:rFonts w:hint="eastAsia"/>
          <w:lang w:val="en-US"/>
        </w:rPr>
        <w:t>《绿色建筑评价标准》GB/T50378-2019</w:t>
      </w:r>
      <w:bookmarkEnd w:id="28"/>
      <w:r>
        <w:rPr>
          <w:rFonts w:hint="eastAsia"/>
          <w:lang w:val="en-US"/>
        </w:rPr>
        <w:t>中有关室外风环境的条目要求。具体要求如下：</w:t>
      </w:r>
    </w:p>
    <w:p>
      <w:pPr>
        <w:pStyle w:val="3"/>
        <w:ind w:firstLine="420"/>
        <w:rPr>
          <w:lang w:val="en-US"/>
        </w:rPr>
      </w:pPr>
      <w:bookmarkStart w:id="29" w:name="_Toc451698935"/>
      <w:bookmarkStart w:id="30" w:name="_Toc452108764"/>
      <w:bookmarkStart w:id="31"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2" w:name="参考标准冬季风速得分"/>
      <w:r>
        <w:rPr>
          <w:lang w:val="en-US"/>
        </w:rPr>
        <w:t>3</w:t>
      </w:r>
      <w:bookmarkEnd w:id="32"/>
      <w:r>
        <w:rPr>
          <w:rFonts w:hint="eastAsia"/>
          <w:lang w:val="en-US"/>
        </w:rPr>
        <w:t>分；除迎风第一排建筑外，建筑迎风面与背风面表面风压差不超过5Pa，得</w:t>
      </w:r>
      <w:bookmarkStart w:id="33" w:name="参考标准冬季风压得分"/>
      <w:r>
        <w:rPr>
          <w:lang w:val="en-US"/>
        </w:rPr>
        <w:t>2</w:t>
      </w:r>
      <w:bookmarkEnd w:id="33"/>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4" w:name="参考标准夏季风速得分"/>
      <w:r>
        <w:rPr>
          <w:lang w:val="en-US"/>
        </w:rPr>
        <w:t>3</w:t>
      </w:r>
      <w:bookmarkEnd w:id="34"/>
      <w:r>
        <w:rPr>
          <w:rFonts w:hint="eastAsia"/>
          <w:lang w:val="en-US"/>
        </w:rPr>
        <w:t>分；50%以上可开启外窗室内外表面的风压差大于0.5Pa，得</w:t>
      </w:r>
      <w:bookmarkStart w:id="35" w:name="参考标准夏季风压得分"/>
      <w:r>
        <w:rPr>
          <w:lang w:val="en-US"/>
        </w:rPr>
        <w:t>2</w:t>
      </w:r>
      <w:bookmarkEnd w:id="35"/>
      <w:r>
        <w:rPr>
          <w:rFonts w:hint="eastAsia"/>
          <w:lang w:val="en-US"/>
        </w:rPr>
        <w:t>分。</w:t>
      </w:r>
    </w:p>
    <w:p>
      <w:pPr>
        <w:pStyle w:val="2"/>
      </w:pPr>
      <w:bookmarkStart w:id="36" w:name="_Toc155572941"/>
      <w:r>
        <w:rPr>
          <w:rFonts w:hint="eastAsia"/>
        </w:rPr>
        <w:t>计算原理</w:t>
      </w:r>
      <w:bookmarkEnd w:id="29"/>
      <w:bookmarkEnd w:id="30"/>
      <w:bookmarkEnd w:id="36"/>
    </w:p>
    <w:p>
      <w:pPr>
        <w:pStyle w:val="4"/>
        <w:numPr>
          <w:ilvl w:val="1"/>
          <w:numId w:val="3"/>
        </w:numPr>
      </w:pPr>
      <w:bookmarkStart w:id="37" w:name="_Toc155572942"/>
      <w:bookmarkStart w:id="38" w:name="_Toc509844740"/>
      <w:bookmarkStart w:id="39" w:name="_Toc452108765"/>
      <w:bookmarkStart w:id="40" w:name="_Toc451698937"/>
      <w:r>
        <w:rPr>
          <w:rFonts w:hint="eastAsia"/>
        </w:rPr>
        <w:t>风场计算域</w:t>
      </w:r>
      <w:bookmarkEnd w:id="37"/>
      <w:bookmarkEnd w:id="38"/>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41" w:name="_Toc155572943"/>
      <w:r>
        <w:rPr>
          <w:rFonts w:hint="eastAsia"/>
        </w:rPr>
        <w:t>冬季工况风场计算域</w:t>
      </w:r>
      <w:bookmarkEnd w:id="4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215</w:t>
            </w:r>
          </w:p>
        </w:tc>
      </w:tr>
    </w:tbl>
    <w:p>
      <w:pPr>
        <w:pStyle w:val="3"/>
        <w:ind w:firstLine="0" w:firstLineChars="0"/>
        <w:jc w:val="center"/>
        <w:rPr>
          <w:lang w:val="en-US"/>
        </w:rPr>
      </w:pPr>
    </w:p>
    <w:p>
      <w:pPr>
        <w:pStyle w:val="13"/>
        <w:jc w:val="center"/>
        <w:rPr>
          <w:rFonts w:hint="eastAsia"/>
        </w:rPr>
      </w:pPr>
    </w:p>
    <w:p>
      <w:pPr>
        <w:pStyle w:val="13"/>
        <w:jc w:val="center"/>
        <w:rPr>
          <w:rFonts w:hint="eastAsia"/>
        </w:rPr>
      </w:pPr>
    </w:p>
    <w:p>
      <w:pPr>
        <w:pStyle w:val="13"/>
        <w:jc w:val="center"/>
        <w:rPr>
          <w:rFonts w:hint="eastAsia" w:eastAsia="黑体"/>
          <w:lang w:eastAsia="zh-CN"/>
        </w:rPr>
      </w:pPr>
    </w:p>
    <w:p>
      <w:pPr>
        <w:rPr>
          <w:rFonts w:hint="eastAsia"/>
        </w:rPr>
      </w:pPr>
    </w:p>
    <w:p>
      <w:pPr>
        <w:rPr>
          <w:rFonts w:hint="eastAsia"/>
        </w:rPr>
      </w:pPr>
    </w:p>
    <w:p>
      <w:pPr>
        <w:rPr>
          <w:rFonts w:hint="eastAsia"/>
        </w:rPr>
      </w:pPr>
    </w:p>
    <w:p>
      <w:pPr>
        <w:rPr>
          <w:rFonts w:hint="eastAsia"/>
        </w:rPr>
      </w:pPr>
      <w:r>
        <w:rPr>
          <w:rFonts w:hint="eastAsia" w:eastAsia="黑体"/>
          <w:lang w:eastAsia="zh-CN"/>
        </w:rPr>
        <w:drawing>
          <wp:anchor distT="0" distB="0" distL="114300" distR="114300" simplePos="0" relativeHeight="251662336" behindDoc="0" locked="0" layoutInCell="1" allowOverlap="1">
            <wp:simplePos x="0" y="0"/>
            <wp:positionH relativeFrom="column">
              <wp:posOffset>21590</wp:posOffset>
            </wp:positionH>
            <wp:positionV relativeFrom="paragraph">
              <wp:posOffset>105410</wp:posOffset>
            </wp:positionV>
            <wp:extent cx="5670550" cy="3067050"/>
            <wp:effectExtent l="0" t="0" r="6350" b="6350"/>
            <wp:wrapNone/>
            <wp:docPr id="47" name="图片 47" descr="7751b8f418bfd1af7984456bf325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751b8f418bfd1af7984456bf32547a"/>
                    <pic:cNvPicPr>
                      <a:picLocks noChangeAspect="1"/>
                    </pic:cNvPicPr>
                  </pic:nvPicPr>
                  <pic:blipFill>
                    <a:blip r:embed="rId12"/>
                    <a:stretch>
                      <a:fillRect/>
                    </a:stretch>
                  </pic:blipFill>
                  <pic:spPr>
                    <a:xfrm>
                      <a:off x="0" y="0"/>
                      <a:ext cx="5670550" cy="3067050"/>
                    </a:xfrm>
                    <a:prstGeom prst="rect">
                      <a:avLst/>
                    </a:prstGeom>
                  </pic:spPr>
                </pic:pic>
              </a:graphicData>
            </a:graphic>
          </wp:anchor>
        </w:drawing>
      </w:r>
    </w:p>
    <w:p>
      <w:pPr>
        <w:rPr>
          <w:rFonts w:hint="eastAsia"/>
        </w:rPr>
      </w:pPr>
    </w:p>
    <w:p>
      <w:pPr>
        <w:rPr>
          <w:rFonts w:hint="eastAsia"/>
        </w:rPr>
      </w:pPr>
    </w:p>
    <w:p>
      <w:pPr>
        <w:rPr>
          <w:rFonts w:hint="eastAsia"/>
        </w:rPr>
      </w:pPr>
    </w:p>
    <w:p>
      <w:pPr>
        <w:rPr>
          <w:rFonts w:hint="eastAsia"/>
        </w:rPr>
      </w:pPr>
    </w:p>
    <w:p>
      <w:pPr>
        <w:pStyle w:val="13"/>
        <w:jc w:val="cente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13"/>
        <w:jc w:val="both"/>
        <w:rPr>
          <w:rFonts w:hint="eastAsia"/>
        </w:rPr>
      </w:pP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42" w:name="_Toc155572944"/>
      <w:r>
        <w:rPr>
          <w:rFonts w:hint="eastAsia"/>
        </w:rPr>
        <w:t>夏季工况风场计算域</w:t>
      </w:r>
      <w:bookmarkEnd w:id="42"/>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3" w:name="冬季风场X尺寸"/>
            <w:r>
              <w:t>393</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4" w:name="冬季风场Y尺寸"/>
            <w:r>
              <w:t>307</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5" w:name="冬季风场Z尺寸"/>
            <w:r>
              <w:t>215</w:t>
            </w:r>
            <w:bookmarkEnd w:id="45"/>
          </w:p>
        </w:tc>
      </w:tr>
    </w:tbl>
    <w:p>
      <w:pPr>
        <w:pStyle w:val="3"/>
        <w:ind w:firstLine="0" w:firstLineChars="0"/>
        <w:jc w:val="center"/>
        <w:rPr>
          <w:lang w:val="en-US"/>
        </w:rPr>
      </w:pPr>
      <w:bookmarkStart w:id="46" w:name="冬季工况风场计算域图示"/>
      <w:bookmarkEnd w:id="46"/>
      <w:r>
        <w:rPr>
          <w:rFonts w:hint="eastAsia" w:eastAsia="宋体"/>
          <w:lang w:eastAsia="zh-CN"/>
        </w:rPr>
        <w:drawing>
          <wp:anchor distT="0" distB="0" distL="114300" distR="114300" simplePos="0" relativeHeight="251663360" behindDoc="0" locked="0" layoutInCell="1" allowOverlap="1">
            <wp:simplePos x="0" y="0"/>
            <wp:positionH relativeFrom="column">
              <wp:posOffset>-56515</wp:posOffset>
            </wp:positionH>
            <wp:positionV relativeFrom="paragraph">
              <wp:posOffset>200025</wp:posOffset>
            </wp:positionV>
            <wp:extent cx="5670550" cy="3067050"/>
            <wp:effectExtent l="0" t="0" r="6350" b="6350"/>
            <wp:wrapNone/>
            <wp:docPr id="49" name="图片 49" descr="1edfe83983b0a2a18184f7bd6d8e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edfe83983b0a2a18184f7bd6d8ef13"/>
                    <pic:cNvPicPr>
                      <a:picLocks noChangeAspect="1"/>
                    </pic:cNvPicPr>
                  </pic:nvPicPr>
                  <pic:blipFill>
                    <a:blip r:embed="rId13"/>
                    <a:stretch>
                      <a:fillRect/>
                    </a:stretch>
                  </pic:blipFill>
                  <pic:spPr>
                    <a:xfrm>
                      <a:off x="0" y="0"/>
                      <a:ext cx="5670550" cy="3067050"/>
                    </a:xfrm>
                    <a:prstGeom prst="rect">
                      <a:avLst/>
                    </a:prstGeom>
                  </pic:spPr>
                </pic:pic>
              </a:graphicData>
            </a:graphic>
          </wp:anchor>
        </w:drawing>
      </w:r>
    </w:p>
    <w:p>
      <w:pPr>
        <w:pStyle w:val="13"/>
        <w:jc w:val="center"/>
        <w:rPr>
          <w:rFonts w:hint="eastAsia"/>
        </w:rPr>
      </w:pPr>
    </w:p>
    <w:p>
      <w:pPr>
        <w:pStyle w:val="13"/>
        <w:jc w:val="center"/>
        <w:rPr>
          <w:rFonts w:hint="eastAsia"/>
        </w:rPr>
      </w:pPr>
    </w:p>
    <w:p>
      <w:pPr>
        <w:rPr>
          <w:rFonts w:hint="eastAsia"/>
        </w:rPr>
      </w:pPr>
    </w:p>
    <w:p>
      <w:pPr>
        <w:rPr>
          <w:rFonts w:hint="eastAsia"/>
        </w:rPr>
      </w:pPr>
    </w:p>
    <w:p>
      <w:pPr>
        <w:rPr>
          <w:rFonts w:hint="eastAsia"/>
        </w:rPr>
      </w:pPr>
    </w:p>
    <w:p>
      <w:pPr>
        <w:rPr>
          <w:rFonts w:hint="eastAsia" w:eastAsia="宋体"/>
          <w:lang w:eastAsia="zh-CN"/>
        </w:rPr>
      </w:pPr>
    </w:p>
    <w:p>
      <w:pPr>
        <w:pStyle w:val="13"/>
        <w:jc w:val="center"/>
        <w:rPr>
          <w:rFonts w:hint="eastAsia"/>
        </w:rPr>
      </w:pPr>
    </w:p>
    <w:p>
      <w:pPr>
        <w:pStyle w:val="13"/>
        <w:jc w:val="center"/>
        <w:rPr>
          <w:rFonts w:hint="eastAsia"/>
        </w:rPr>
      </w:pPr>
    </w:p>
    <w:p>
      <w:pPr>
        <w:rPr>
          <w:rFonts w:hint="eastAsia"/>
        </w:rPr>
      </w:pPr>
    </w:p>
    <w:p>
      <w:pPr>
        <w:rPr>
          <w:rFonts w:hint="eastAsia"/>
        </w:rPr>
      </w:pPr>
    </w:p>
    <w:p>
      <w:pPr>
        <w:rPr>
          <w:rFonts w:hint="eastAsia"/>
        </w:rPr>
      </w:pPr>
    </w:p>
    <w:p>
      <w:pPr>
        <w:rPr>
          <w:rFonts w:hint="eastAsia"/>
        </w:rPr>
      </w:pPr>
    </w:p>
    <w:p>
      <w:pPr>
        <w:pStyle w:val="13"/>
        <w:jc w:val="center"/>
        <w:rPr>
          <w:rFonts w:hint="eastAsia"/>
        </w:rPr>
      </w:pPr>
    </w:p>
    <w:p>
      <w:pPr>
        <w:pStyle w:val="13"/>
        <w:jc w:val="center"/>
        <w:rPr>
          <w:rFonts w:hint="eastAsia"/>
        </w:rPr>
      </w:pPr>
    </w:p>
    <w:p>
      <w:pPr>
        <w:pStyle w:val="13"/>
        <w:jc w:val="both"/>
        <w:rPr>
          <w:rFonts w:hint="eastAsia"/>
        </w:rPr>
      </w:pP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7" w:name="计算域"/>
      <w:bookmarkEnd w:id="47"/>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48" w:name="_Toc509844741"/>
      <w:bookmarkStart w:id="49" w:name="_Toc155572945"/>
      <w:r>
        <w:rPr>
          <w:rFonts w:hint="eastAsia"/>
        </w:rPr>
        <w:t>网格划分</w:t>
      </w:r>
      <w:bookmarkEnd w:id="48"/>
      <w:bookmarkEnd w:id="49"/>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50" w:name="OLE_LINK276"/>
      <w:bookmarkStart w:id="51" w:name="OLE_LINK277"/>
      <w:r>
        <w:rPr>
          <w:rFonts w:hint="eastAsia"/>
        </w:rPr>
        <w:t>1）普通网格：指除靠近地面和建筑以外的网格，通常不需要特别加密处理</w:t>
      </w:r>
    </w:p>
    <w:p>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bookmarkStart w:id="53" w:name="附面层网格信息"/>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50"/>
      <w:bookmarkEnd w:id="51"/>
    </w:p>
    <w:bookmarkEnd w:id="53"/>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330221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jc w:val="cente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4"/>
                    <a:stretch>
                      <a:fillRect/>
                    </a:stretch>
                  </pic:blipFill>
                  <pic:spPr>
                    <a:xfrm>
                      <a:off x="0" y="0"/>
                      <a:ext cx="5667375" cy="3305175"/>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网格图-冬季</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54" w:name="冬季网格总数"/>
            <w:r>
              <w:t>340984</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冬季分弧精度"/>
            <w:r>
              <w:t>0.24</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冬季初始网格"/>
            <w:r>
              <w:t>8.0</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冬季最小细分级数"/>
            <w:r>
              <w:t>1</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冬季最大细分级数"/>
            <w:r>
              <w:t>2</w:t>
            </w:r>
            <w:bookmarkEnd w:id="5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冬季远场细分级数"/>
            <w:r>
              <w:t>1</w:t>
            </w:r>
            <w:bookmarkEnd w:id="5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0" w:name="冬季近场细分级数"/>
            <w:r>
              <w:t>2</w:t>
            </w:r>
            <w:bookmarkEnd w:id="6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1" w:name="冬季地面附面层数"/>
            <w:r>
              <w:t>2</w:t>
            </w:r>
            <w:bookmarkEnd w:id="6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2" w:name="冬季建筑附面层数"/>
            <w:r>
              <w:t>0</w:t>
            </w:r>
            <w:bookmarkEnd w:id="62"/>
          </w:p>
        </w:tc>
      </w:tr>
    </w:tbl>
    <w:p>
      <w:pPr>
        <w:rPr>
          <w:szCs w:val="21"/>
          <w:lang w:val="en-US"/>
        </w:rPr>
      </w:pPr>
    </w:p>
    <w:p>
      <w:pPr>
        <w:jc w:val="center"/>
      </w:pPr>
      <w:r>
        <w:drawing>
          <wp:inline distT="0" distB="0" distL="0" distR="0">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5"/>
                    <a:stretch>
                      <a:fillRect/>
                    </a:stretch>
                  </pic:blipFill>
                  <pic:spPr>
                    <a:xfrm>
                      <a:off x="0" y="0"/>
                      <a:ext cx="5667375" cy="3305175"/>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2</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63" w:name="季节"/>
      <w:r>
        <w:rPr>
          <w:rFonts w:hint="eastAsia" w:ascii="黑体" w:hAnsi="黑体" w:eastAsia="黑体"/>
          <w:sz w:val="20"/>
        </w:rPr>
        <w:t>夏季</w:t>
      </w:r>
      <w:bookmarkEnd w:id="63"/>
    </w:p>
    <w:p>
      <w:pPr>
        <w:pStyle w:val="3"/>
        <w:ind w:firstLine="630" w:firstLineChars="300"/>
        <w:rPr>
          <w:rFonts w:ascii="黑体" w:hAnsi="黑体" w:eastAsia="黑体"/>
          <w:szCs w:val="20"/>
          <w:lang w:val="en-US"/>
        </w:rPr>
      </w:pPr>
      <w:bookmarkStart w:id="64" w:name="网格划分信息"/>
      <w:bookmarkEnd w:id="64"/>
      <w:r>
        <w:rPr>
          <w:rFonts w:hint="eastAsia" w:ascii="黑体" w:hAnsi="黑体" w:eastAsia="黑体"/>
          <w:szCs w:val="20"/>
          <w:lang w:val="en-US"/>
        </w:rPr>
        <w:t>注：前述计算域随风向不同，所以相同的网格方案会产生不同的网格数量。</w:t>
      </w:r>
    </w:p>
    <w:p>
      <w:pPr>
        <w:pStyle w:val="3"/>
        <w:ind w:firstLine="0" w:firstLineChars="0"/>
        <w:rPr>
          <w:rFonts w:ascii="黑体" w:hAnsi="黑体" w:eastAsia="黑体"/>
          <w:szCs w:val="20"/>
          <w:lang w:val="en-US"/>
        </w:rPr>
      </w:pPr>
      <w:bookmarkStart w:id="65" w:name="网格图"/>
      <w:bookmarkEnd w:id="65"/>
    </w:p>
    <w:p>
      <w:pPr>
        <w:pStyle w:val="4"/>
        <w:numPr>
          <w:ilvl w:val="1"/>
          <w:numId w:val="3"/>
        </w:numPr>
      </w:pPr>
      <w:bookmarkStart w:id="66" w:name="_Toc509844742"/>
      <w:bookmarkStart w:id="67" w:name="_Toc155572946"/>
      <w:r>
        <w:rPr>
          <w:rFonts w:hint="eastAsia"/>
        </w:rPr>
        <w:t>边界条件</w:t>
      </w:r>
      <w:bookmarkEnd w:id="66"/>
      <w:bookmarkEnd w:id="67"/>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8" w:name="_Toc509844743"/>
      <w:bookmarkStart w:id="69" w:name="_Toc155572947"/>
      <w:r>
        <w:rPr>
          <w:rFonts w:hint="eastAsia"/>
        </w:rPr>
        <w:t>入口与出口边界条件</w:t>
      </w:r>
      <w:bookmarkEnd w:id="68"/>
      <w:bookmarkEnd w:id="69"/>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5pt;width:71.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9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9pt;width:14.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70" w:name="地面粗糙度指数2"/>
      <w:r>
        <w:rPr>
          <w:rFonts w:hint="eastAsia"/>
          <w:lang w:val="en-US"/>
        </w:rPr>
        <w:t>0.28</w:t>
      </w:r>
      <w:bookmarkEnd w:id="70"/>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71" w:name="_Toc509844744"/>
      <w:bookmarkStart w:id="72" w:name="_Toc155572948"/>
      <w:r>
        <w:rPr>
          <w:rFonts w:hint="eastAsia"/>
        </w:rPr>
        <w:t>壁面边界条件</w:t>
      </w:r>
      <w:bookmarkEnd w:id="71"/>
      <w:bookmarkEnd w:id="72"/>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3" w:name="_Toc155572949"/>
      <w:r>
        <w:rPr>
          <w:rFonts w:hint="eastAsia"/>
        </w:rPr>
        <w:t>湍流模型</w:t>
      </w:r>
      <w:bookmarkEnd w:id="39"/>
      <w:bookmarkEnd w:id="40"/>
      <w:bookmarkEnd w:id="73"/>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4" w:name="_Toc155572950"/>
      <w:bookmarkStart w:id="75" w:name="_Toc452108767"/>
      <w:bookmarkStart w:id="76" w:name="_Toc451698939"/>
      <w:r>
        <w:rPr>
          <w:rFonts w:hint="eastAsia"/>
        </w:rPr>
        <w:t>求解计算</w:t>
      </w:r>
      <w:bookmarkEnd w:id="74"/>
      <w:bookmarkEnd w:id="75"/>
      <w:bookmarkEnd w:id="76"/>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7"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7"/>
      <w:r>
        <w:rPr>
          <w:rFonts w:hint="eastAsia" w:ascii="黑体" w:hAnsi="黑体" w:eastAsia="黑体"/>
          <w:sz w:val="20"/>
          <w:szCs w:val="20"/>
        </w:rPr>
        <w:t xml:space="preserve"> </w:t>
      </w:r>
      <w:bookmarkStart w:id="78" w:name="_Ref225175618"/>
      <w:r>
        <w:rPr>
          <w:rFonts w:hint="eastAsia" w:ascii="黑体" w:hAnsi="黑体" w:eastAsia="黑体"/>
          <w:sz w:val="20"/>
          <w:szCs w:val="20"/>
        </w:rPr>
        <w:t>计算流体力学的控制方程</w:t>
      </w:r>
      <w:bookmarkEnd w:id="78"/>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31"/>
    </w:p>
    <w:p>
      <w:pPr>
        <w:pStyle w:val="4"/>
      </w:pPr>
      <w:bookmarkStart w:id="79" w:name="_Toc509844747"/>
      <w:bookmarkStart w:id="80" w:name="_Toc155572951"/>
      <w:r>
        <w:rPr>
          <w:rFonts w:hint="eastAsia"/>
        </w:rPr>
        <w:t>风速放大系数计算</w:t>
      </w:r>
      <w:bookmarkEnd w:id="79"/>
      <w:bookmarkEnd w:id="80"/>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5pt;width:12.5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pt;width:24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pt;width:20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81" w:name="地面粗糙度指数"/>
      <w:r>
        <w:rPr>
          <w:rFonts w:hint="eastAsia"/>
          <w:lang w:val="en-US"/>
        </w:rPr>
        <w:t>0.28</w:t>
      </w:r>
      <w:bookmarkEnd w:id="81"/>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82" w:name="_Toc452108768"/>
      <w:bookmarkStart w:id="83" w:name="_Toc155572952"/>
      <w:r>
        <w:rPr>
          <w:rFonts w:hint="eastAsia"/>
        </w:rPr>
        <w:t>结果</w:t>
      </w:r>
      <w:r>
        <w:t>分析</w:t>
      </w:r>
      <w:bookmarkEnd w:id="82"/>
      <w:bookmarkEnd w:id="83"/>
    </w:p>
    <w:p>
      <w:pPr>
        <w:pStyle w:val="4"/>
        <w:rPr>
          <w:szCs w:val="21"/>
        </w:rPr>
      </w:pPr>
      <w:bookmarkStart w:id="84" w:name="_Toc155572953"/>
      <w:r>
        <w:rPr>
          <w:rFonts w:hint="eastAsia"/>
          <w:szCs w:val="21"/>
        </w:rPr>
        <w:t>工况</w:t>
      </w:r>
      <w:r>
        <w:rPr>
          <w:szCs w:val="21"/>
        </w:rPr>
        <w:t>表</w:t>
      </w:r>
      <w:bookmarkEnd w:id="84"/>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5"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1.60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67.5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1.10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22.5</w:t>
            </w:r>
          </w:p>
        </w:tc>
      </w:tr>
      <w:bookmarkEnd w:id="85"/>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6" w:name="_Toc509844750"/>
      <w:bookmarkStart w:id="87" w:name="_Toc155572954"/>
      <w:r>
        <w:rPr>
          <w:rFonts w:hint="eastAsia"/>
        </w:rPr>
        <w:t>冬季工况</w:t>
      </w:r>
      <w:bookmarkEnd w:id="86"/>
      <w:bookmarkEnd w:id="87"/>
    </w:p>
    <w:p>
      <w:pPr>
        <w:ind w:firstLine="420" w:firstLineChars="200"/>
        <w:jc w:val="both"/>
      </w:pPr>
      <w:r>
        <w:rPr>
          <w:rFonts w:hint="eastAsia"/>
          <w:lang w:val="en-US"/>
        </w:rPr>
        <w:t>本项目冬季工况的入口边界风速为</w:t>
      </w:r>
      <w:bookmarkStart w:id="88" w:name="冬季入口边界风速"/>
      <w:r>
        <w:rPr>
          <w:rFonts w:hint="eastAsia" w:ascii="Calibri" w:hAnsi="Calibri"/>
          <w:szCs w:val="21"/>
        </w:rPr>
        <w:t>1.60</w:t>
      </w:r>
      <w:bookmarkEnd w:id="88"/>
      <w:r>
        <w:rPr>
          <w:rFonts w:ascii="Calibri" w:hAnsi="Calibri"/>
          <w:szCs w:val="21"/>
        </w:rPr>
        <w:t>m/s</w:t>
      </w:r>
      <w:r>
        <w:rPr>
          <w:rFonts w:hint="eastAsia" w:ascii="Calibri" w:hAnsi="Calibri"/>
          <w:szCs w:val="21"/>
        </w:rPr>
        <w:t>，风向为</w:t>
      </w:r>
      <w:bookmarkStart w:id="89" w:name="冬季入口边界风向"/>
      <w:r>
        <w:rPr>
          <w:szCs w:val="21"/>
        </w:rPr>
        <w:t>NNE</w:t>
      </w:r>
      <w:bookmarkEnd w:id="89"/>
      <w:r>
        <w:rPr>
          <w:rFonts w:hint="eastAsia"/>
          <w:szCs w:val="21"/>
        </w:rPr>
        <w:t>。</w:t>
      </w:r>
    </w:p>
    <w:p>
      <w:pPr>
        <w:pStyle w:val="5"/>
      </w:pPr>
      <w:bookmarkStart w:id="90" w:name="_Toc509844751"/>
      <w:bookmarkStart w:id="91" w:name="_Toc155572955"/>
      <w:r>
        <w:rPr>
          <w:rFonts w:hint="eastAsia"/>
        </w:rPr>
        <w:t>风速达标分析</w:t>
      </w:r>
      <w:bookmarkEnd w:id="90"/>
      <w:bookmarkEnd w:id="91"/>
      <w:r>
        <w:rPr>
          <w:rFonts w:hint="eastAsia"/>
        </w:rPr>
        <w:t xml:space="preserve"> </w:t>
      </w:r>
    </w:p>
    <w:p>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pPr>
        <w:pStyle w:val="3"/>
        <w:ind w:firstLine="420"/>
        <w:rPr>
          <w:lang w:val="en-US"/>
        </w:rPr>
      </w:pPr>
      <w:r>
        <w:rPr>
          <w:rFonts w:hint="eastAsia"/>
          <w:lang w:val="en-US"/>
        </w:rPr>
        <w:t>分析下列图数据，</w:t>
      </w:r>
      <w:bookmarkStart w:id="92" w:name="冬季工况人行区风速分析结论"/>
      <w:bookmarkEnd w:id="92"/>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3" w:name="冬季工况人行区风速云图"/>
      <w:bookmarkEnd w:id="93"/>
      <w:r>
        <w:drawing>
          <wp:inline distT="0" distB="0" distL="0" distR="0">
            <wp:extent cx="5667375" cy="28956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2"/>
                    <a:stretch>
                      <a:fillRect/>
                    </a:stretch>
                  </pic:blipFill>
                  <pic:spPr>
                    <a:xfrm>
                      <a:off x="0" y="0"/>
                      <a:ext cx="5667375" cy="28956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pPr>
        <w:pStyle w:val="3"/>
        <w:ind w:firstLine="420"/>
        <w:rPr>
          <w:lang w:val="en-US"/>
        </w:rPr>
      </w:pPr>
    </w:p>
    <w:p>
      <w:pPr>
        <w:pStyle w:val="5"/>
      </w:pPr>
      <w:bookmarkStart w:id="94" w:name="_Toc155572956"/>
      <w:bookmarkStart w:id="95" w:name="_Toc509844752"/>
      <w:r>
        <w:rPr>
          <w:rFonts w:hint="eastAsia"/>
        </w:rPr>
        <w:t>风速放大系数达标分析</w:t>
      </w:r>
      <w:bookmarkEnd w:id="94"/>
      <w:bookmarkEnd w:id="95"/>
    </w:p>
    <w:p>
      <w:pPr>
        <w:pStyle w:val="3"/>
        <w:ind w:firstLine="420"/>
        <w:jc w:val="left"/>
        <w:rPr>
          <w:color w:val="auto"/>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6" w:name="冬季工况人行区风速放大系数分析结论"/>
      <w:bookmarkEnd w:id="96"/>
      <w:r>
        <w:rPr>
          <w:lang w:val="en-US"/>
        </w:rPr>
        <w:t>黑色</w:t>
      </w:r>
      <w:r>
        <w:rPr>
          <w:color w:val="auto"/>
          <w:lang w:val="en-US"/>
        </w:rPr>
        <w:t>等值线内的人行区域风速放大系数</w:t>
      </w:r>
      <w:r>
        <w:rPr>
          <w:rFonts w:hint="eastAsia"/>
          <w:color w:val="auto"/>
          <w:lang w:val="en-US" w:eastAsia="zh-CN"/>
        </w:rPr>
        <w:t>小于</w:t>
      </w:r>
      <w:r>
        <w:rPr>
          <w:color w:val="auto"/>
          <w:lang w:val="en-US"/>
        </w:rPr>
        <w:t>2，因此满足绿标要求。</w:t>
      </w:r>
    </w:p>
    <w:p>
      <w:pPr>
        <w:pStyle w:val="13"/>
        <w:jc w:val="center"/>
      </w:pPr>
      <w:bookmarkStart w:id="97" w:name="冬季工况人行区风速放大系数云图"/>
      <w:bookmarkEnd w:id="97"/>
      <w:r>
        <w:drawing>
          <wp:inline distT="0" distB="0" distL="0" distR="0">
            <wp:extent cx="5667375" cy="28670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3"/>
                    <a:stretch>
                      <a:fillRect/>
                    </a:stretch>
                  </pic:blipFill>
                  <pic:spPr>
                    <a:xfrm>
                      <a:off x="0" y="0"/>
                      <a:ext cx="5667375" cy="28670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pPr>
        <w:ind w:firstLine="420" w:firstLineChars="200"/>
        <w:rPr>
          <w:rFonts w:ascii="黑体" w:hAnsi="黑体" w:eastAsia="黑体"/>
          <w:lang w:val="en-US"/>
        </w:rPr>
      </w:pPr>
      <w:r>
        <w:rPr>
          <w:rFonts w:hint="eastAsia" w:ascii="黑体" w:hAnsi="黑体" w:eastAsia="黑体"/>
          <w:lang w:val="en-US"/>
        </w:rPr>
        <w:t>2）通常将1.5米作为一般人群的参考行走高度，也可酌情调整人行走高度。</w:t>
      </w:r>
      <w:bookmarkStart w:id="98" w:name="_Toc509844757"/>
      <w:bookmarkEnd w:id="98"/>
      <w:bookmarkStart w:id="99" w:name="_Toc509844754"/>
      <w:bookmarkEnd w:id="99"/>
      <w:bookmarkStart w:id="100" w:name="_Toc509844755"/>
      <w:bookmarkEnd w:id="100"/>
      <w:bookmarkStart w:id="101" w:name="_Toc509844756"/>
      <w:bookmarkEnd w:id="101"/>
    </w:p>
    <w:p>
      <w:pPr>
        <w:pStyle w:val="3"/>
        <w:ind w:firstLine="420"/>
        <w:rPr>
          <w:lang w:val="en-US"/>
        </w:rPr>
      </w:pPr>
    </w:p>
    <w:p>
      <w:pPr>
        <w:pStyle w:val="5"/>
      </w:pPr>
      <w:bookmarkStart w:id="102" w:name="_Toc509844753"/>
      <w:bookmarkStart w:id="103" w:name="_Toc155572957"/>
      <w:r>
        <w:rPr>
          <w:rFonts w:hint="eastAsia"/>
        </w:rPr>
        <w:t>冬季工况风速/风速放大系数达标</w:t>
      </w:r>
      <w:bookmarkEnd w:id="102"/>
      <w:r>
        <w:rPr>
          <w:rFonts w:hint="eastAsia"/>
        </w:rPr>
        <w:t>结果汇总</w:t>
      </w:r>
      <w:bookmarkEnd w:id="103"/>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4" w:name="冬季工况风速是否有超限区域"/>
            <w:r>
              <w:rPr>
                <w:rFonts w:hint="eastAsia" w:ascii="宋体" w:hAnsi="宋体" w:cs="宋体"/>
                <w:color w:val="000000"/>
                <w:sz w:val="22"/>
                <w:szCs w:val="22"/>
                <w:lang w:val="en-US"/>
              </w:rPr>
              <w:t>否</w:t>
            </w:r>
            <w:bookmarkEnd w:id="104"/>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5" w:name="冬季工况风速达标判断"/>
            <w:r>
              <w:rPr>
                <w:rFonts w:hint="eastAsia" w:ascii="宋体" w:hAnsi="宋体" w:cs="宋体"/>
                <w:color w:val="000000"/>
                <w:sz w:val="22"/>
                <w:szCs w:val="22"/>
                <w:lang w:val="en-US"/>
              </w:rPr>
              <w:t>是</w:t>
            </w:r>
            <w:bookmarkEnd w:id="105"/>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bl>
    <w:p/>
    <w:p>
      <w:pPr>
        <w:pStyle w:val="5"/>
      </w:pPr>
      <w:bookmarkStart w:id="106" w:name="_Toc155572958"/>
      <w:r>
        <w:rPr>
          <w:rFonts w:hint="eastAsia"/>
        </w:rPr>
        <w:t>建筑迎风面和背风面风压分析</w:t>
      </w:r>
      <w:bookmarkEnd w:id="106"/>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eastAsia="宋体"/>
          <w:lang w:val="en-US" w:eastAsia="zh-CN"/>
        </w:rPr>
        <w:drawing>
          <wp:anchor distT="0" distB="0" distL="114300" distR="114300" simplePos="0" relativeHeight="251660288" behindDoc="0" locked="0" layoutInCell="1" allowOverlap="1">
            <wp:simplePos x="0" y="0"/>
            <wp:positionH relativeFrom="column">
              <wp:posOffset>189865</wp:posOffset>
            </wp:positionH>
            <wp:positionV relativeFrom="paragraph">
              <wp:posOffset>314960</wp:posOffset>
            </wp:positionV>
            <wp:extent cx="5290185" cy="2843530"/>
            <wp:effectExtent l="0" t="0" r="5715" b="1270"/>
            <wp:wrapNone/>
            <wp:docPr id="2" name="图片 2" descr="8d508a90eb09119951a3abd6f9bf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d508a90eb09119951a3abd6f9bfa41"/>
                    <pic:cNvPicPr>
                      <a:picLocks noChangeAspect="1"/>
                    </pic:cNvPicPr>
                  </pic:nvPicPr>
                  <pic:blipFill>
                    <a:blip r:embed="rId75"/>
                    <a:stretch>
                      <a:fillRect/>
                    </a:stretch>
                  </pic:blipFill>
                  <pic:spPr>
                    <a:xfrm>
                      <a:off x="0" y="0"/>
                      <a:ext cx="5290185" cy="2843530"/>
                    </a:xfrm>
                    <a:prstGeom prst="rect">
                      <a:avLst/>
                    </a:prstGeom>
                  </pic:spPr>
                </pic:pic>
              </a:graphicData>
            </a:graphic>
          </wp:anchor>
        </w:drawing>
      </w:r>
      <w:r>
        <w:rPr>
          <w:rFonts w:hint="eastAsia"/>
        </w:rPr>
        <w:t>建筑迎风面和背风面风压云图</w:t>
      </w:r>
    </w:p>
    <w:p>
      <w:pPr>
        <w:pStyle w:val="13"/>
        <w:jc w:val="center"/>
        <w:rPr>
          <w:lang w:val="en-US"/>
        </w:rPr>
      </w:pPr>
      <w:bookmarkStart w:id="107" w:name="冬季工况建筑迎风面风压云图"/>
      <w:bookmarkEnd w:id="107"/>
    </w:p>
    <w:p>
      <w:pPr>
        <w:rPr>
          <w:lang w:val="en-US"/>
        </w:rPr>
      </w:pPr>
    </w:p>
    <w:p>
      <w:pPr>
        <w:rPr>
          <w:rFonts w:hint="eastAsia" w:eastAsia="宋体"/>
          <w:lang w:val="en-US" w:eastAsia="zh-CN"/>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08" w:name="冬季工况建筑背风面风压云图"/>
      <w:bookmarkEnd w:id="108"/>
      <w:r>
        <w:rPr>
          <w:rFonts w:hint="eastAsia" w:ascii="黑体" w:hAnsi="黑体" w:eastAsia="黑体"/>
          <w:sz w:val="20"/>
          <w:szCs w:val="20"/>
          <w:lang w:eastAsia="zh-CN"/>
        </w:rPr>
        <w:drawing>
          <wp:anchor distT="0" distB="0" distL="114300" distR="114300" simplePos="0" relativeHeight="251659264" behindDoc="0" locked="0" layoutInCell="1" allowOverlap="1">
            <wp:simplePos x="0" y="0"/>
            <wp:positionH relativeFrom="column">
              <wp:posOffset>169545</wp:posOffset>
            </wp:positionH>
            <wp:positionV relativeFrom="paragraph">
              <wp:posOffset>165735</wp:posOffset>
            </wp:positionV>
            <wp:extent cx="5670550" cy="3079750"/>
            <wp:effectExtent l="0" t="0" r="6350" b="6350"/>
            <wp:wrapNone/>
            <wp:docPr id="3" name="图片 3" descr="ca48380ef3392d33b3c95475b78a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48380ef3392d33b3c95475b78a143"/>
                    <pic:cNvPicPr>
                      <a:picLocks noChangeAspect="1"/>
                    </pic:cNvPicPr>
                  </pic:nvPicPr>
                  <pic:blipFill>
                    <a:blip r:embed="rId76"/>
                    <a:stretch>
                      <a:fillRect/>
                    </a:stretch>
                  </pic:blipFill>
                  <pic:spPr>
                    <a:xfrm>
                      <a:off x="0" y="0"/>
                      <a:ext cx="5670550" cy="3079750"/>
                    </a:xfrm>
                    <a:prstGeom prst="rect">
                      <a:avLst/>
                    </a:prstGeom>
                  </pic:spPr>
                </pic:pic>
              </a:graphicData>
            </a:graphic>
          </wp:anchor>
        </w:drawing>
      </w:r>
    </w:p>
    <w:p>
      <w:pPr>
        <w:pStyle w:val="3"/>
        <w:ind w:firstLine="0" w:firstLineChars="0"/>
        <w:jc w:val="center"/>
        <w:rPr>
          <w:rFonts w:hint="eastAsia" w:ascii="黑体" w:hAnsi="黑体" w:eastAsia="黑体"/>
          <w:sz w:val="20"/>
          <w:szCs w:val="20"/>
        </w:rPr>
      </w:pPr>
    </w:p>
    <w:p>
      <w:pPr>
        <w:pStyle w:val="3"/>
        <w:ind w:firstLine="0" w:firstLineChars="0"/>
        <w:jc w:val="center"/>
        <w:rPr>
          <w:rFonts w:hint="eastAsia" w:ascii="黑体" w:hAnsi="黑体" w:eastAsia="黑体"/>
          <w:sz w:val="20"/>
          <w:szCs w:val="20"/>
        </w:rPr>
      </w:pPr>
    </w:p>
    <w:p>
      <w:pPr>
        <w:pStyle w:val="3"/>
        <w:ind w:firstLine="0" w:firstLineChars="0"/>
        <w:jc w:val="center"/>
        <w:rPr>
          <w:rFonts w:hint="eastAsia" w:ascii="黑体" w:hAnsi="黑体" w:eastAsia="黑体"/>
          <w:sz w:val="20"/>
          <w:szCs w:val="20"/>
          <w:lang w:eastAsia="zh-CN"/>
        </w:rPr>
      </w:pPr>
    </w:p>
    <w:p>
      <w:pPr>
        <w:pStyle w:val="3"/>
        <w:ind w:firstLine="0" w:firstLineChars="0"/>
        <w:jc w:val="center"/>
        <w:rPr>
          <w:rFonts w:hint="eastAsia" w:ascii="黑体" w:hAnsi="黑体" w:eastAsia="黑体"/>
          <w:sz w:val="20"/>
          <w:szCs w:val="20"/>
        </w:rPr>
      </w:pPr>
    </w:p>
    <w:p>
      <w:pPr>
        <w:pStyle w:val="3"/>
        <w:ind w:firstLine="0" w:firstLineChars="0"/>
        <w:jc w:val="center"/>
        <w:rPr>
          <w:rFonts w:hint="eastAsia" w:ascii="黑体" w:hAnsi="黑体" w:eastAsia="黑体"/>
          <w:sz w:val="20"/>
          <w:szCs w:val="20"/>
        </w:rPr>
      </w:pPr>
    </w:p>
    <w:p>
      <w:pPr>
        <w:pStyle w:val="3"/>
        <w:ind w:firstLine="0" w:firstLineChars="0"/>
        <w:jc w:val="center"/>
        <w:rPr>
          <w:rFonts w:hint="eastAsia" w:ascii="黑体" w:hAnsi="黑体" w:eastAsia="黑体"/>
          <w:sz w:val="20"/>
          <w:szCs w:val="20"/>
        </w:rPr>
      </w:pPr>
    </w:p>
    <w:p>
      <w:pPr>
        <w:pStyle w:val="3"/>
        <w:ind w:firstLine="0" w:firstLineChars="0"/>
        <w:jc w:val="center"/>
        <w:rPr>
          <w:rFonts w:hint="eastAsia" w:ascii="黑体" w:hAnsi="黑体" w:eastAsia="黑体"/>
          <w:sz w:val="20"/>
          <w:szCs w:val="20"/>
        </w:rPr>
      </w:pPr>
    </w:p>
    <w:p>
      <w:pPr>
        <w:pStyle w:val="3"/>
        <w:ind w:firstLine="0" w:firstLineChars="0"/>
        <w:jc w:val="center"/>
        <w:rPr>
          <w:rFonts w:hint="eastAsia" w:ascii="黑体" w:hAnsi="黑体" w:eastAsia="黑体"/>
          <w:sz w:val="20"/>
          <w:szCs w:val="20"/>
        </w:rPr>
      </w:pPr>
    </w:p>
    <w:p>
      <w:pPr>
        <w:pStyle w:val="3"/>
        <w:ind w:firstLine="0" w:firstLineChars="0"/>
        <w:jc w:val="center"/>
        <w:rPr>
          <w:rFonts w:hint="eastAsia" w:ascii="黑体" w:hAnsi="黑体" w:eastAsia="黑体"/>
          <w:sz w:val="20"/>
          <w:szCs w:val="20"/>
        </w:rPr>
      </w:pPr>
    </w:p>
    <w:p>
      <w:pPr>
        <w:pStyle w:val="3"/>
        <w:ind w:firstLine="0" w:firstLineChars="0"/>
        <w:jc w:val="center"/>
        <w:rPr>
          <w:rFonts w:hint="eastAsia" w:ascii="黑体" w:hAnsi="黑体" w:eastAsia="黑体"/>
          <w:sz w:val="20"/>
          <w:szCs w:val="20"/>
        </w:rPr>
      </w:pPr>
    </w:p>
    <w:p>
      <w:pPr>
        <w:pStyle w:val="3"/>
        <w:ind w:firstLine="0" w:firstLineChars="0"/>
        <w:jc w:val="center"/>
        <w:rPr>
          <w:rFonts w:hint="eastAsia" w:ascii="黑体" w:hAnsi="黑体" w:eastAsia="黑体"/>
          <w:sz w:val="20"/>
          <w:szCs w:val="20"/>
        </w:rPr>
      </w:pPr>
    </w:p>
    <w:p>
      <w:pPr>
        <w:pStyle w:val="3"/>
        <w:ind w:firstLine="0" w:firstLineChars="0"/>
        <w:jc w:val="center"/>
        <w:rPr>
          <w:rFonts w:hint="eastAsia" w:ascii="黑体" w:hAnsi="黑体" w:eastAsia="黑体"/>
          <w:sz w:val="20"/>
          <w:szCs w:val="20"/>
        </w:rPr>
      </w:pPr>
    </w:p>
    <w:p>
      <w:pPr>
        <w:pStyle w:val="3"/>
        <w:ind w:firstLine="0" w:firstLineChars="0"/>
        <w:jc w:val="center"/>
        <w:rPr>
          <w:rFonts w:hint="eastAsia" w:ascii="黑体" w:hAnsi="黑体" w:eastAsia="黑体"/>
          <w:sz w:val="20"/>
          <w:szCs w:val="20"/>
        </w:rPr>
      </w:pPr>
    </w:p>
    <w:p>
      <w:pPr>
        <w:pStyle w:val="3"/>
        <w:ind w:firstLine="0" w:firstLineChars="0"/>
        <w:jc w:val="center"/>
        <w:rPr>
          <w:rFonts w:hint="eastAsia" w:ascii="黑体" w:hAnsi="黑体" w:eastAsia="黑体"/>
          <w:sz w:val="20"/>
          <w:szCs w:val="20"/>
        </w:rPr>
      </w:pP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09" w:name="建筑迎风面和背风面风压差计算结果"/>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0" w:name="建筑迎背风面风压差表_建筑名"/>
      <w:r>
        <w:rPr>
          <w:rFonts w:ascii="Cambria" w:hAnsi="Cambria" w:eastAsia="黑体"/>
          <w:sz w:val="20"/>
        </w:rPr>
        <w:t>DT单体</w:t>
      </w:r>
      <w:bookmarkEnd w:id="110"/>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1.24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2.31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3.94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2.46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7层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2.62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8层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2.78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9层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2.94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10层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2.98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-1.34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11层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3.05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-1.29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12层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3.10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-1.25</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4.35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13层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-1.25</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14层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2.48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-1.26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3.74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-0.97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0.73</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-1.54</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2.27</w:t>
            </w:r>
          </w:p>
        </w:tc>
      </w:tr>
    </w:tbl>
    <w:p>
      <w:bookmarkStart w:id="111" w:name="结论"/>
      <w:bookmarkEnd w:id="111"/>
      <w:r>
        <w:t>结论：迎风第一排建筑，</w:t>
      </w:r>
      <w:r>
        <w:rPr>
          <w:b/>
          <w:color w:val="00FF00"/>
        </w:rPr>
        <w:t>标准未做要求</w:t>
      </w:r>
      <w:r>
        <w:t>。</w:t>
      </w:r>
    </w:p>
    <w:bookmarkEnd w:id="109"/>
    <w:p>
      <w:pPr>
        <w:jc w:val="center"/>
        <w:rPr>
          <w:rFonts w:ascii="Cambria" w:hAnsi="Cambria" w:eastAsia="黑体"/>
          <w:sz w:val="20"/>
        </w:rPr>
      </w:pPr>
      <w:bookmarkStart w:id="112" w:name="建筑迎背风面风压差表_新增"/>
      <w:bookmarkEnd w:id="112"/>
      <w:bookmarkStart w:id="113" w:name="建筑迎背风面风压差表"/>
    </w:p>
    <w:bookmarkEnd w:id="113"/>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4"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w:t>
            </w:r>
          </w:p>
        </w:tc>
        <w:tc>
          <w:tcPr>
            <w:tcW w:w="1276" w:type="dxa"/>
            <w:shd w:val="clear" w:color="auto" w:fill="auto"/>
            <w:vAlign w:val="center"/>
          </w:tcPr>
          <w:p>
            <w:pPr>
              <w:jc w:val="center"/>
              <w:rPr>
                <w:lang w:val="en-US"/>
              </w:rPr>
            </w:pPr>
            <w:r>
              <w:rPr>
                <w:lang w:val="en-US"/>
              </w:rPr>
              <w:t>0.73</w:t>
            </w:r>
          </w:p>
        </w:tc>
        <w:tc>
          <w:tcPr>
            <w:tcW w:w="1276" w:type="dxa"/>
            <w:shd w:val="clear" w:color="auto" w:fill="auto"/>
            <w:vAlign w:val="center"/>
          </w:tcPr>
          <w:p>
            <w:pPr>
              <w:jc w:val="center"/>
              <w:rPr>
                <w:lang w:val="en-US"/>
              </w:rPr>
            </w:pPr>
            <w:r>
              <w:rPr>
                <w:lang w:val="en-US"/>
              </w:rPr>
              <w:t>-1.54</w:t>
            </w:r>
          </w:p>
        </w:tc>
        <w:tc>
          <w:tcPr>
            <w:tcW w:w="1701" w:type="dxa"/>
            <w:shd w:val="clear" w:color="auto" w:fill="auto"/>
            <w:vAlign w:val="center"/>
          </w:tcPr>
          <w:p>
            <w:pPr>
              <w:jc w:val="center"/>
              <w:rPr>
                <w:lang w:val="en-US"/>
              </w:rPr>
            </w:pPr>
            <w:r>
              <w:rPr>
                <w:lang w:val="en-US"/>
              </w:rPr>
              <w:t>2.27</w:t>
            </w:r>
          </w:p>
        </w:tc>
        <w:tc>
          <w:tcPr>
            <w:tcW w:w="973" w:type="dxa"/>
            <w:shd w:val="clear" w:color="auto" w:fill="auto"/>
            <w:vAlign w:val="center"/>
          </w:tcPr>
          <w:p>
            <w:pPr>
              <w:jc w:val="center"/>
              <w:rPr>
                <w:lang w:val="en-US"/>
              </w:rPr>
            </w:pPr>
            <w:r>
              <w:rPr>
                <w:lang w:val="en-US"/>
              </w:rPr>
              <w:t>不参评</w:t>
            </w:r>
          </w:p>
        </w:tc>
      </w:tr>
      <w:bookmarkEnd w:id="114"/>
    </w:tbl>
    <w:p>
      <w:pPr>
        <w:rPr>
          <w:lang w:val="en-US"/>
        </w:rPr>
      </w:pPr>
      <w:bookmarkStart w:id="115" w:name="建筑迎风和背风面风压差结论汇总结论"/>
      <w:bookmarkEnd w:id="115"/>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116" w:name="冬季工况"/>
      <w:bookmarkEnd w:id="116"/>
      <w:r>
        <w:rPr>
          <w:rFonts w:hint="eastAsia"/>
          <w:lang w:val="en-US"/>
        </w:rPr>
        <w:t xml:space="preserve"> </w:t>
      </w:r>
    </w:p>
    <w:p>
      <w:pPr>
        <w:pStyle w:val="4"/>
      </w:pPr>
      <w:bookmarkStart w:id="117" w:name="季节1"/>
      <w:bookmarkStart w:id="118" w:name="_Toc155572959"/>
      <w:bookmarkStart w:id="119" w:name="_Toc509844759"/>
      <w:r>
        <w:rPr>
          <w:rFonts w:hint="eastAsia"/>
        </w:rPr>
        <w:t>夏季</w:t>
      </w:r>
      <w:bookmarkEnd w:id="117"/>
      <w:r>
        <w:rPr>
          <w:rFonts w:hint="eastAsia"/>
        </w:rPr>
        <w:t>工况</w:t>
      </w:r>
      <w:bookmarkEnd w:id="118"/>
      <w:bookmarkEnd w:id="119"/>
    </w:p>
    <w:p>
      <w:pPr>
        <w:pStyle w:val="3"/>
        <w:ind w:firstLine="420"/>
      </w:pPr>
      <w:r>
        <w:rPr>
          <w:rFonts w:hint="eastAsia"/>
          <w:lang w:val="en-US"/>
        </w:rPr>
        <w:t>本项目</w:t>
      </w:r>
      <w:bookmarkStart w:id="120" w:name="季节2"/>
      <w:r>
        <w:rPr>
          <w:rFonts w:hint="eastAsia"/>
          <w:lang w:val="en-US"/>
        </w:rPr>
        <w:t>夏季</w:t>
      </w:r>
      <w:bookmarkEnd w:id="120"/>
      <w:r>
        <w:rPr>
          <w:rFonts w:hint="eastAsia"/>
          <w:lang w:val="en-US"/>
        </w:rPr>
        <w:t>工况的入口边界风速为</w:t>
      </w:r>
      <w:bookmarkStart w:id="121" w:name="入口边界风速"/>
      <w:r>
        <w:rPr>
          <w:rFonts w:hint="eastAsia"/>
          <w:lang w:val="en-US"/>
        </w:rPr>
        <w:t>1.10</w:t>
      </w:r>
      <w:bookmarkEnd w:id="121"/>
      <w:r>
        <w:rPr>
          <w:rFonts w:hint="eastAsia"/>
          <w:lang w:val="en-US"/>
        </w:rPr>
        <w:t>m/s，风向为</w:t>
      </w:r>
      <w:bookmarkStart w:id="122" w:name="入口边界风向"/>
      <w:r>
        <w:t>ENE</w:t>
      </w:r>
      <w:bookmarkEnd w:id="122"/>
      <w:r>
        <w:rPr>
          <w:rFonts w:hint="eastAsia"/>
          <w:lang w:val="en-US"/>
        </w:rPr>
        <w:t>。</w:t>
      </w:r>
    </w:p>
    <w:p>
      <w:pPr>
        <w:pStyle w:val="3"/>
        <w:ind w:firstLine="420"/>
      </w:pPr>
      <w:r>
        <w:rPr>
          <w:rFonts w:hint="eastAsia"/>
          <w:lang w:val="en-US"/>
        </w:rPr>
        <w:t>根据前述《绿色建筑评价标准》 对于夏季工况的要求，</w:t>
      </w:r>
      <w:bookmarkStart w:id="123" w:name="季节3"/>
      <w:r>
        <w:rPr>
          <w:rFonts w:hint="eastAsia"/>
          <w:lang w:val="en-US"/>
        </w:rPr>
        <w:t>夏季</w:t>
      </w:r>
      <w:bookmarkEnd w:id="123"/>
      <w:r>
        <w:rPr>
          <w:rFonts w:hint="eastAsia"/>
          <w:lang w:val="en-US"/>
        </w:rPr>
        <w:t>典型风速和风向条件下，场地内人活动区不出现涡旋或无风区。通过该项标准指导设计确保合理的建筑布局，在</w:t>
      </w:r>
      <w:bookmarkStart w:id="124" w:name="季节4"/>
      <w:r>
        <w:rPr>
          <w:rFonts w:hint="eastAsia"/>
          <w:lang w:val="en-US"/>
        </w:rPr>
        <w:t>夏季</w:t>
      </w:r>
      <w:bookmarkEnd w:id="124"/>
      <w:r>
        <w:rPr>
          <w:rFonts w:hint="eastAsia"/>
          <w:lang w:val="en-US"/>
        </w:rPr>
        <w:t>形成有效的巷道风，优化街区自然通风环境，避免</w:t>
      </w:r>
      <w:bookmarkStart w:id="125" w:name="季节5"/>
      <w:r>
        <w:rPr>
          <w:rFonts w:hint="eastAsia"/>
          <w:lang w:val="en-US"/>
        </w:rPr>
        <w:t>夏季</w:t>
      </w:r>
      <w:bookmarkEnd w:id="125"/>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6" w:name="_Toc155572960"/>
      <w:bookmarkStart w:id="127" w:name="_Toc509844760"/>
      <w:r>
        <w:rPr>
          <w:rFonts w:hint="eastAsia"/>
        </w:rPr>
        <w:t>无风区计算分析</w:t>
      </w:r>
      <w:bookmarkEnd w:id="126"/>
      <w:bookmarkEnd w:id="127"/>
    </w:p>
    <w:p>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8" w:name="人活动区风速分析结论"/>
      <w:bookmarkEnd w:id="128"/>
      <w:r>
        <w:t>黑色等值线内</w:t>
      </w:r>
      <w:r>
        <w:rPr>
          <w:color w:val="auto"/>
        </w:rPr>
        <w:t>的人活动区域风速</w:t>
      </w:r>
      <w:r>
        <w:rPr>
          <w:rFonts w:hint="eastAsia"/>
          <w:color w:val="auto"/>
          <w:lang w:val="en-US" w:eastAsia="zh-CN"/>
        </w:rPr>
        <w:t>大于</w:t>
      </w:r>
      <w:r>
        <w:rPr>
          <w:color w:val="auto"/>
        </w:rPr>
        <w:t>0.2m/s，因此满足绿标要</w:t>
      </w:r>
      <w:r>
        <w:t>求。</w:t>
      </w:r>
    </w:p>
    <w:p>
      <w:pPr>
        <w:pStyle w:val="3"/>
        <w:spacing w:after="156" w:afterLines="50"/>
        <w:ind w:firstLine="0" w:firstLineChars="0"/>
        <w:jc w:val="center"/>
      </w:pPr>
      <w:bookmarkStart w:id="129" w:name="人行区风速云图"/>
      <w:bookmarkEnd w:id="129"/>
      <w:r>
        <w:drawing>
          <wp:inline distT="0" distB="0" distL="0" distR="0">
            <wp:extent cx="5667375" cy="2895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7"/>
                    <a:stretch>
                      <a:fillRect/>
                    </a:stretch>
                  </pic:blipFill>
                  <pic:spPr>
                    <a:xfrm>
                      <a:off x="0" y="0"/>
                      <a:ext cx="5667375" cy="2895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pPr>
        <w:pStyle w:val="3"/>
        <w:ind w:firstLine="420"/>
      </w:pPr>
    </w:p>
    <w:p>
      <w:pPr>
        <w:pStyle w:val="5"/>
      </w:pPr>
      <w:bookmarkStart w:id="130" w:name="_Toc509844761"/>
      <w:bookmarkStart w:id="131" w:name="_Toc155572961"/>
      <w:r>
        <w:rPr>
          <w:rFonts w:hint="eastAsia"/>
        </w:rPr>
        <w:t>旋涡区分析</w:t>
      </w:r>
      <w:bookmarkEnd w:id="130"/>
      <w:bookmarkEnd w:id="131"/>
    </w:p>
    <w:p>
      <w:pPr>
        <w:pStyle w:val="3"/>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bookmarkStart w:id="132" w:name="人行区风速矢量图"/>
      <w:bookmarkEnd w:id="132"/>
      <w:r>
        <w:drawing>
          <wp:inline distT="0" distB="0" distL="0" distR="0">
            <wp:extent cx="5667375" cy="31337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8"/>
                    <a:stretch>
                      <a:fillRect/>
                    </a:stretch>
                  </pic:blipFill>
                  <pic:spPr>
                    <a:xfrm>
                      <a:off x="0" y="0"/>
                      <a:ext cx="5667375" cy="31337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pPr>
        <w:pStyle w:val="3"/>
        <w:ind w:firstLine="420"/>
        <w:rPr>
          <w:lang w:val="en-US"/>
        </w:rPr>
      </w:pPr>
    </w:p>
    <w:p>
      <w:pPr>
        <w:pStyle w:val="5"/>
      </w:pPr>
      <w:bookmarkStart w:id="133" w:name="_Toc509844762"/>
      <w:bookmarkStart w:id="134" w:name="_Toc155572962"/>
      <w:r>
        <w:rPr>
          <w:rFonts w:hint="eastAsia"/>
        </w:rPr>
        <w:t>旋涡区/无风区达标</w:t>
      </w:r>
      <w:bookmarkEnd w:id="133"/>
      <w:r>
        <w:rPr>
          <w:rFonts w:hint="eastAsia"/>
        </w:rPr>
        <w:t>结果汇总</w:t>
      </w:r>
      <w:bookmarkEnd w:id="134"/>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5" w:name="季节8"/>
      <w:r>
        <w:rPr>
          <w:rFonts w:hint="eastAsia" w:ascii="黑体" w:hAnsi="黑体" w:eastAsia="黑体"/>
          <w:sz w:val="20"/>
          <w:szCs w:val="20"/>
        </w:rPr>
        <w:t>夏季</w:t>
      </w:r>
      <w:bookmarkEnd w:id="13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6" w:name="是否有旋涡区"/>
            <w:r>
              <w:rPr>
                <w:rFonts w:ascii="宋体" w:hAnsi="宋体" w:cs="宋体"/>
                <w:color w:val="000000"/>
                <w:sz w:val="22"/>
                <w:szCs w:val="22"/>
                <w:lang w:val="en-US"/>
              </w:rPr>
              <w:t>否</w:t>
            </w:r>
            <w:bookmarkEnd w:id="136"/>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7" w:name="旋涡区达标判断"/>
            <w:r>
              <w:rPr>
                <w:rFonts w:ascii="宋体" w:hAnsi="宋体" w:cs="宋体"/>
                <w:color w:val="000000"/>
                <w:sz w:val="22"/>
                <w:szCs w:val="22"/>
                <w:lang w:val="en-US"/>
              </w:rPr>
              <w:t>是</w:t>
            </w:r>
            <w:bookmarkEnd w:id="137"/>
          </w:p>
        </w:tc>
      </w:tr>
    </w:tbl>
    <w:p>
      <w:pPr>
        <w:pStyle w:val="5"/>
      </w:pPr>
      <w:bookmarkStart w:id="138" w:name="_Toc504501018"/>
      <w:bookmarkStart w:id="139" w:name="_Toc509844763"/>
      <w:bookmarkStart w:id="140" w:name="_Toc155572963"/>
      <w:r>
        <w:rPr>
          <w:rFonts w:hint="eastAsia"/>
        </w:rPr>
        <w:t>外窗内外表面风压</w:t>
      </w:r>
      <w:bookmarkEnd w:id="138"/>
      <w:r>
        <w:rPr>
          <w:rFonts w:hint="eastAsia"/>
        </w:rPr>
        <w:t>差达标分析</w:t>
      </w:r>
      <w:bookmarkEnd w:id="139"/>
      <w:bookmarkEnd w:id="140"/>
    </w:p>
    <w:p>
      <w:pPr>
        <w:pStyle w:val="3"/>
        <w:ind w:firstLine="420"/>
      </w:pPr>
      <w:r>
        <w:rPr>
          <w:rFonts w:hint="eastAsia"/>
          <w:lang w:val="en-US"/>
        </w:rPr>
        <w:t>分析《绿色建筑评价标准》，</w:t>
      </w:r>
      <w:bookmarkStart w:id="141" w:name="季节9"/>
      <w:r>
        <w:rPr>
          <w:rFonts w:hint="eastAsia"/>
          <w:lang w:val="en-US"/>
        </w:rPr>
        <w:t>夏季</w:t>
      </w:r>
      <w:bookmarkEnd w:id="141"/>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42" w:name="迎风面风压云图"/>
      <w:bookmarkEnd w:id="142"/>
    </w:p>
    <w:p>
      <w:pPr>
        <w:pStyle w:val="3"/>
        <w:ind w:firstLine="0" w:firstLineChars="0"/>
        <w:jc w:val="center"/>
      </w:pPr>
    </w:p>
    <w:p>
      <w:pPr>
        <w:pStyle w:val="3"/>
        <w:ind w:firstLine="0" w:firstLineChars="0"/>
        <w:jc w:val="center"/>
      </w:pPr>
    </w:p>
    <w:p>
      <w:pPr>
        <w:pStyle w:val="3"/>
        <w:ind w:firstLine="0" w:firstLineChars="0"/>
        <w:jc w:val="center"/>
      </w:pPr>
    </w:p>
    <w:p>
      <w:pPr>
        <w:pStyle w:val="3"/>
        <w:ind w:firstLine="0" w:firstLineChars="0"/>
        <w:jc w:val="center"/>
      </w:pPr>
    </w:p>
    <w:p>
      <w:pPr>
        <w:pStyle w:val="3"/>
        <w:ind w:firstLine="0" w:firstLineChars="0"/>
        <w:jc w:val="center"/>
      </w:pPr>
    </w:p>
    <w:p>
      <w:pPr>
        <w:pStyle w:val="3"/>
        <w:ind w:firstLine="0" w:firstLineChars="0"/>
        <w:jc w:val="center"/>
      </w:pPr>
      <w:r>
        <w:rPr>
          <w:rFonts w:hint="eastAsia" w:eastAsia="宋体"/>
          <w:lang w:eastAsia="zh-CN"/>
        </w:rPr>
        <w:drawing>
          <wp:anchor distT="0" distB="0" distL="114300" distR="114300" simplePos="0" relativeHeight="251664384" behindDoc="0" locked="0" layoutInCell="1" allowOverlap="1">
            <wp:simplePos x="0" y="0"/>
            <wp:positionH relativeFrom="column">
              <wp:posOffset>13970</wp:posOffset>
            </wp:positionH>
            <wp:positionV relativeFrom="paragraph">
              <wp:posOffset>45720</wp:posOffset>
            </wp:positionV>
            <wp:extent cx="5670550" cy="3048000"/>
            <wp:effectExtent l="0" t="0" r="6350" b="0"/>
            <wp:wrapNone/>
            <wp:docPr id="50" name="图片 50" descr="746afc71963aca9b59b75e69565f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746afc71963aca9b59b75e69565f528"/>
                    <pic:cNvPicPr>
                      <a:picLocks noChangeAspect="1"/>
                    </pic:cNvPicPr>
                  </pic:nvPicPr>
                  <pic:blipFill>
                    <a:blip r:embed="rId79"/>
                    <a:stretch>
                      <a:fillRect/>
                    </a:stretch>
                  </pic:blipFill>
                  <pic:spPr>
                    <a:xfrm>
                      <a:off x="0" y="0"/>
                      <a:ext cx="5670550" cy="3048000"/>
                    </a:xfrm>
                    <a:prstGeom prst="rect">
                      <a:avLst/>
                    </a:prstGeom>
                  </pic:spPr>
                </pic:pic>
              </a:graphicData>
            </a:graphic>
          </wp:anchor>
        </w:drawing>
      </w:r>
    </w:p>
    <w:p>
      <w:pPr>
        <w:pStyle w:val="3"/>
        <w:ind w:firstLine="0" w:firstLineChars="0"/>
        <w:jc w:val="center"/>
      </w:pPr>
    </w:p>
    <w:p>
      <w:pPr>
        <w:pStyle w:val="3"/>
        <w:ind w:firstLine="0" w:firstLineChars="0"/>
        <w:jc w:val="center"/>
      </w:pPr>
    </w:p>
    <w:p>
      <w:pPr>
        <w:pStyle w:val="3"/>
        <w:ind w:firstLine="0" w:firstLineChars="0"/>
        <w:jc w:val="center"/>
      </w:pPr>
    </w:p>
    <w:p>
      <w:pPr>
        <w:pStyle w:val="3"/>
        <w:ind w:firstLine="0" w:firstLineChars="0"/>
        <w:jc w:val="center"/>
      </w:pPr>
    </w:p>
    <w:p>
      <w:pPr>
        <w:pStyle w:val="3"/>
        <w:ind w:firstLine="0" w:firstLineChars="0"/>
        <w:jc w:val="center"/>
        <w:rPr>
          <w:rFonts w:hint="eastAsia" w:eastAsia="宋体"/>
          <w:lang w:eastAsia="zh-CN"/>
        </w:rPr>
      </w:pPr>
    </w:p>
    <w:p>
      <w:pPr>
        <w:pStyle w:val="3"/>
        <w:ind w:firstLine="0" w:firstLineChars="0"/>
        <w:jc w:val="center"/>
      </w:pPr>
    </w:p>
    <w:p>
      <w:pPr>
        <w:pStyle w:val="3"/>
        <w:ind w:firstLine="0" w:firstLineChars="0"/>
        <w:jc w:val="center"/>
      </w:pPr>
    </w:p>
    <w:p>
      <w:pPr>
        <w:pStyle w:val="3"/>
        <w:ind w:firstLine="0" w:firstLineChars="0"/>
        <w:jc w:val="center"/>
      </w:pPr>
    </w:p>
    <w:p>
      <w:pPr>
        <w:pStyle w:val="3"/>
        <w:ind w:firstLine="0" w:firstLineChars="0"/>
        <w:jc w:val="center"/>
      </w:pPr>
    </w:p>
    <w:p>
      <w:pPr>
        <w:pStyle w:val="3"/>
        <w:ind w:firstLine="0" w:firstLineChars="0"/>
        <w:jc w:val="center"/>
      </w:pPr>
    </w:p>
    <w:p>
      <w:pPr>
        <w:pStyle w:val="3"/>
        <w:ind w:firstLine="0" w:firstLineChars="0"/>
        <w:jc w:val="center"/>
      </w:pPr>
    </w:p>
    <w:p>
      <w:pPr>
        <w:pStyle w:val="3"/>
        <w:ind w:firstLine="0" w:firstLineChars="0"/>
        <w:jc w:val="both"/>
      </w:pP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3" w:name="季节10"/>
      <w:r>
        <w:rPr>
          <w:rFonts w:hint="eastAsia" w:ascii="黑体" w:hAnsi="黑体" w:eastAsia="黑体"/>
          <w:sz w:val="20"/>
          <w:szCs w:val="20"/>
        </w:rPr>
        <w:t>夏季</w:t>
      </w:r>
      <w:bookmarkEnd w:id="143"/>
    </w:p>
    <w:p>
      <w:pPr>
        <w:pStyle w:val="13"/>
        <w:jc w:val="center"/>
      </w:pPr>
      <w:bookmarkStart w:id="169" w:name="_GoBack"/>
      <w:bookmarkStart w:id="144" w:name="背风面风压云图"/>
      <w:bookmarkEnd w:id="144"/>
      <w:r>
        <w:rPr>
          <w:rFonts w:hint="eastAsia" w:eastAsia="宋体"/>
          <w:lang w:eastAsia="zh-CN"/>
        </w:rPr>
        <w:drawing>
          <wp:anchor distT="0" distB="0" distL="114300" distR="114300" simplePos="0" relativeHeight="251665408" behindDoc="0" locked="0" layoutInCell="1" allowOverlap="1">
            <wp:simplePos x="0" y="0"/>
            <wp:positionH relativeFrom="column">
              <wp:posOffset>112395</wp:posOffset>
            </wp:positionH>
            <wp:positionV relativeFrom="paragraph">
              <wp:posOffset>75565</wp:posOffset>
            </wp:positionV>
            <wp:extent cx="5670550" cy="3079750"/>
            <wp:effectExtent l="0" t="0" r="6350" b="6350"/>
            <wp:wrapNone/>
            <wp:docPr id="51" name="图片 51" descr="a23d422f881b971563a9441f3ad21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a23d422f881b971563a9441f3ad21ef"/>
                    <pic:cNvPicPr>
                      <a:picLocks noChangeAspect="1"/>
                    </pic:cNvPicPr>
                  </pic:nvPicPr>
                  <pic:blipFill>
                    <a:blip r:embed="rId80"/>
                    <a:stretch>
                      <a:fillRect/>
                    </a:stretch>
                  </pic:blipFill>
                  <pic:spPr>
                    <a:xfrm>
                      <a:off x="0" y="0"/>
                      <a:ext cx="5670550" cy="3079750"/>
                    </a:xfrm>
                    <a:prstGeom prst="rect">
                      <a:avLst/>
                    </a:prstGeom>
                  </pic:spPr>
                </pic:pic>
              </a:graphicData>
            </a:graphic>
          </wp:anchor>
        </w:drawing>
      </w:r>
      <w:bookmarkEnd w:id="169"/>
    </w:p>
    <w:p/>
    <w:p/>
    <w:p/>
    <w:p/>
    <w:p/>
    <w:p/>
    <w:p>
      <w:pPr>
        <w:rPr>
          <w:rFonts w:hint="eastAsia" w:eastAsia="宋体"/>
          <w:lang w:eastAsia="zh-CN"/>
        </w:rPr>
      </w:pPr>
    </w:p>
    <w:p/>
    <w:p/>
    <w:p/>
    <w:p/>
    <w:p/>
    <w:p/>
    <w:p/>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5" w:name="季节11"/>
      <w:r>
        <w:rPr>
          <w:rFonts w:hint="eastAsia" w:ascii="黑体" w:hAnsi="黑体" w:eastAsia="黑体"/>
          <w:sz w:val="20"/>
          <w:szCs w:val="20"/>
        </w:rPr>
        <w:t>夏季</w:t>
      </w:r>
      <w:bookmarkEnd w:id="145"/>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w:t>
            </w:r>
          </w:p>
        </w:tc>
        <w:tc>
          <w:tcPr>
            <w:tcW w:w="1134" w:type="dxa"/>
            <w:shd w:val="clear" w:color="auto" w:fill="auto"/>
            <w:vAlign w:val="center"/>
          </w:tcPr>
          <w:p>
            <w:pPr>
              <w:jc w:val="center"/>
              <w:rPr>
                <w:lang w:val="en-US"/>
              </w:rPr>
            </w:pPr>
            <w:r>
              <w:rPr>
                <w:lang w:val="en-US"/>
              </w:rPr>
              <w:t>557</w:t>
            </w:r>
          </w:p>
        </w:tc>
        <w:tc>
          <w:tcPr>
            <w:tcW w:w="1984" w:type="dxa"/>
            <w:shd w:val="clear" w:color="auto" w:fill="auto"/>
            <w:vAlign w:val="center"/>
          </w:tcPr>
          <w:p>
            <w:pPr>
              <w:jc w:val="center"/>
              <w:rPr>
                <w:lang w:val="en-US"/>
              </w:rPr>
            </w:pPr>
            <w:r>
              <w:rPr>
                <w:lang w:val="en-US"/>
              </w:rPr>
              <w:t>374</w:t>
            </w:r>
          </w:p>
        </w:tc>
        <w:tc>
          <w:tcPr>
            <w:tcW w:w="1116" w:type="dxa"/>
            <w:shd w:val="clear" w:color="auto" w:fill="auto"/>
            <w:vAlign w:val="center"/>
          </w:tcPr>
          <w:p>
            <w:pPr>
              <w:jc w:val="center"/>
              <w:rPr>
                <w:lang w:val="en-US"/>
              </w:rPr>
            </w:pPr>
            <w:r>
              <w:rPr>
                <w:lang w:val="en-US"/>
              </w:rPr>
              <w:t>67.15</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p>
      <w:pPr>
        <w:rPr>
          <w:lang w:val="en-US"/>
        </w:rPr>
      </w:pPr>
      <w:bookmarkStart w:id="146" w:name="建筑外窗室内外风压差达标判定"/>
      <w:bookmarkEnd w:id="146"/>
    </w:p>
    <w:p/>
    <w:p>
      <w:pPr>
        <w:rPr>
          <w:lang w:val="en-US"/>
        </w:rPr>
      </w:pPr>
      <w:bookmarkStart w:id="147" w:name="建筑室内外风压差达标判定结论"/>
      <w:r>
        <w:rPr>
          <w:rFonts w:hint="eastAsia"/>
          <w:lang w:val="en-US"/>
        </w:rPr>
        <w:t>结论：本项目中所有建筑均满足“50%以上可开启外窗室内外表面的风压差大于0.5Pa”的要求。</w:t>
      </w:r>
      <w:bookmarkEnd w:id="147"/>
      <w:r>
        <w:rPr>
          <w:rFonts w:hint="eastAsia"/>
          <w:lang w:val="en-US"/>
        </w:rPr>
        <w:t xml:space="preserve"> </w:t>
      </w:r>
    </w:p>
    <w:p>
      <w:pPr>
        <w:rPr>
          <w:lang w:val="en-US"/>
        </w:rPr>
      </w:pPr>
      <w:bookmarkStart w:id="148" w:name="其他工况"/>
      <w:bookmarkEnd w:id="148"/>
      <w:r>
        <w:rPr>
          <w:rFonts w:hint="eastAsia"/>
          <w:lang w:val="en-US"/>
        </w:rPr>
        <w:t xml:space="preserve"> </w:t>
      </w:r>
    </w:p>
    <w:p>
      <w:pPr>
        <w:pStyle w:val="4"/>
      </w:pPr>
      <w:bookmarkStart w:id="149" w:name="_Toc509844764"/>
      <w:bookmarkStart w:id="150" w:name="_Toc155572964"/>
      <w:r>
        <w:rPr>
          <w:rFonts w:hint="eastAsia"/>
        </w:rPr>
        <w:t>结论</w:t>
      </w:r>
      <w:bookmarkEnd w:id="149"/>
      <w:bookmarkEnd w:id="150"/>
    </w:p>
    <w:p>
      <w:pPr>
        <w:pStyle w:val="5"/>
      </w:pPr>
      <w:bookmarkStart w:id="151" w:name="_Toc509844765"/>
      <w:bookmarkStart w:id="152" w:name="_Toc155572965"/>
      <w:r>
        <w:rPr>
          <w:rFonts w:hint="eastAsia"/>
        </w:rPr>
        <w:t>冬季工况达标判断</w:t>
      </w:r>
      <w:bookmarkEnd w:id="151"/>
      <w:bookmarkEnd w:id="152"/>
      <w:bookmarkStart w:id="153" w:name="_Toc509844766"/>
      <w:bookmarkEnd w:id="15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54" w:name="标准要求冬季风速得分"/>
            <w:r>
              <w:rPr>
                <w:rFonts w:hint="eastAsia"/>
                <w:lang w:val="en-US"/>
              </w:rPr>
              <w:t>3</w:t>
            </w:r>
            <w:bookmarkEnd w:id="154"/>
            <w:r>
              <w:rPr>
                <w:rFonts w:hint="eastAsia"/>
                <w:lang w:val="en-US"/>
              </w:rPr>
              <w:t>分；</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55" w:name="冬季风速结果计算域"/>
            <w:r>
              <w:t>没有出现</w:t>
            </w:r>
            <w:bookmarkEnd w:id="155"/>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pPr>
              <w:jc w:val="center"/>
              <w:rPr>
                <w:b/>
                <w:lang w:val="en-US"/>
              </w:rPr>
            </w:pPr>
            <w:r>
              <w:rPr>
                <w:rFonts w:hint="eastAsia"/>
                <w:b/>
                <w:lang w:val="en-US"/>
              </w:rPr>
              <w:t>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eastAsia="zh-CN"/>
              </w:rPr>
              <w:t>3</w:t>
            </w:r>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w:t>
            </w:r>
            <w:r>
              <w:t>没有出现</w:t>
            </w:r>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56" w:name="标准要求冬季风压得分"/>
            <w:r>
              <w:rPr>
                <w:rFonts w:hint="eastAsia"/>
                <w:lang w:val="en-US"/>
              </w:rPr>
              <w:t>2</w:t>
            </w:r>
            <w:bookmarkEnd w:id="156"/>
            <w:r>
              <w:rPr>
                <w:rFonts w:hint="eastAsia"/>
                <w:lang w:val="en-US"/>
              </w:rPr>
              <w:t>分</w:t>
            </w:r>
            <w:r>
              <w:rPr>
                <w:lang w:val="en-US"/>
              </w:rPr>
              <w:t>未出现风速超标区域</w:t>
            </w:r>
          </w:p>
        </w:tc>
        <w:tc>
          <w:tcPr>
            <w:tcW w:w="1985" w:type="dxa"/>
            <w:shd w:val="clear" w:color="auto" w:fill="auto"/>
            <w:vAlign w:val="center"/>
          </w:tcPr>
          <w:p>
            <w:pPr>
              <w:jc w:val="center"/>
              <w:rPr>
                <w:lang w:val="en-US"/>
              </w:rPr>
            </w:pPr>
            <w:r>
              <w:rPr>
                <w:rFonts w:hint="eastAsia"/>
                <w:lang w:val="en-US"/>
              </w:rPr>
              <w:t>本项目</w:t>
            </w:r>
            <w:bookmarkStart w:id="157" w:name="冬季迎背风面结果"/>
            <w:r>
              <w:t>没有出现</w:t>
            </w:r>
            <w:bookmarkEnd w:id="157"/>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58" w:name="冬季迎背风面达标判定"/>
            <w:r>
              <w:rPr>
                <w:rFonts w:hint="eastAsia"/>
                <w:b/>
                <w:lang w:val="en-US"/>
              </w:rPr>
              <w:t>达标</w:t>
            </w:r>
            <w:bookmarkEnd w:id="158"/>
          </w:p>
        </w:tc>
        <w:tc>
          <w:tcPr>
            <w:tcW w:w="1416" w:type="dxa"/>
            <w:shd w:val="clear" w:color="auto" w:fill="auto"/>
            <w:vAlign w:val="center"/>
          </w:tcPr>
          <w:p>
            <w:pPr>
              <w:jc w:val="center"/>
              <w:rPr>
                <w:lang w:val="en-US"/>
              </w:rPr>
            </w:pPr>
            <w:bookmarkStart w:id="159" w:name="冬季迎背风面得分"/>
            <w:r>
              <w:rPr>
                <w:rFonts w:hint="eastAsia"/>
                <w:lang w:val="en-US"/>
              </w:rPr>
              <w:t>2</w:t>
            </w:r>
            <w:bookmarkEnd w:id="159"/>
            <w:r>
              <w:rPr>
                <w:rFonts w:hint="eastAsia"/>
                <w:lang w:val="en-US"/>
              </w:rPr>
              <w:t>分</w:t>
            </w:r>
          </w:p>
        </w:tc>
      </w:tr>
    </w:tbl>
    <w:p>
      <w:pPr>
        <w:rPr>
          <w:szCs w:val="21"/>
          <w:lang w:val="en-US"/>
        </w:rPr>
      </w:pPr>
    </w:p>
    <w:p>
      <w:pPr>
        <w:pStyle w:val="5"/>
      </w:pPr>
      <w:bookmarkStart w:id="160" w:name="_Toc509844767"/>
      <w:bookmarkEnd w:id="160"/>
      <w:bookmarkStart w:id="161" w:name="_Toc509844768"/>
      <w:bookmarkEnd w:id="161"/>
      <w:bookmarkStart w:id="162" w:name="_Toc155572966"/>
      <w:bookmarkStart w:id="163" w:name="_Toc509844769"/>
      <w:r>
        <w:rPr>
          <w:rFonts w:hint="eastAsia"/>
        </w:rPr>
        <w:t>过渡季、夏季工况达标判断</w:t>
      </w:r>
      <w:bookmarkEnd w:id="162"/>
      <w:bookmarkEnd w:id="16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4" w:name="标准要求夏季风速得分"/>
            <w:r>
              <w:rPr>
                <w:rFonts w:hint="eastAsia"/>
                <w:lang w:val="en-US"/>
              </w:rPr>
              <w:t>3</w:t>
            </w:r>
            <w:bookmarkEnd w:id="164"/>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计算域无风区</w:t>
            </w:r>
          </w:p>
        </w:tc>
        <w:tc>
          <w:tcPr>
            <w:tcW w:w="1985" w:type="dxa"/>
            <w:vMerge w:val="restart"/>
            <w:tcBorders>
              <w:top w:val="single" w:color="auto" w:sz="4" w:space="0"/>
            </w:tcBorders>
            <w:shd w:val="clear" w:color="auto" w:fill="auto"/>
            <w:vAlign w:val="center"/>
          </w:tcPr>
          <w:p>
            <w:pPr>
              <w:jc w:val="center"/>
              <w:rPr>
                <w:lang w:val="en-US"/>
              </w:rPr>
            </w:pPr>
            <w:r>
              <w:rPr>
                <w:rFonts w:hint="eastAsia"/>
                <w:b/>
                <w:lang w:val="en-US"/>
              </w:rPr>
              <w:t>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eastAsia="zh-CN"/>
              </w:rPr>
              <w:t>3</w:t>
            </w:r>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65" w:name="标准要求夏季风压得分"/>
            <w:r>
              <w:rPr>
                <w:rFonts w:hint="eastAsia"/>
                <w:lang w:val="en-US"/>
              </w:rPr>
              <w:t>2</w:t>
            </w:r>
            <w:bookmarkEnd w:id="165"/>
            <w:r>
              <w:rPr>
                <w:rFonts w:hint="eastAsia"/>
                <w:lang w:val="en-US"/>
              </w:rPr>
              <w:t>分。</w:t>
            </w:r>
          </w:p>
        </w:tc>
        <w:tc>
          <w:tcPr>
            <w:tcW w:w="1985" w:type="dxa"/>
            <w:shd w:val="clear" w:color="auto" w:fill="auto"/>
            <w:vAlign w:val="center"/>
          </w:tcPr>
          <w:p>
            <w:pPr>
              <w:jc w:val="center"/>
              <w:rPr>
                <w:lang w:val="en-US"/>
              </w:rPr>
            </w:pPr>
            <w:r>
              <w:rPr>
                <w:rFonts w:hint="eastAsia"/>
                <w:b/>
                <w:lang w:val="en-US"/>
              </w:rPr>
              <w:t>可开启外窗室内外表面的风压差</w:t>
            </w:r>
            <w:bookmarkStart w:id="166" w:name="夏季窗内外风压差结果"/>
            <w:r>
              <w:rPr>
                <w:rFonts w:hint="eastAsia"/>
                <w:lang w:val="en-US"/>
              </w:rPr>
              <w:t>满足</w:t>
            </w:r>
            <w:bookmarkEnd w:id="166"/>
            <w:r>
              <w:rPr>
                <w:rFonts w:hint="eastAsia"/>
                <w:lang w:val="en-US"/>
              </w:rPr>
              <w:t>标准要求</w:t>
            </w:r>
          </w:p>
        </w:tc>
        <w:tc>
          <w:tcPr>
            <w:tcW w:w="1985" w:type="dxa"/>
            <w:shd w:val="clear" w:color="auto" w:fill="auto"/>
            <w:vAlign w:val="center"/>
          </w:tcPr>
          <w:p>
            <w:pPr>
              <w:jc w:val="center"/>
              <w:rPr>
                <w:b/>
                <w:lang w:val="en-US"/>
              </w:rPr>
            </w:pPr>
            <w:bookmarkStart w:id="167" w:name="夏季窗内外风压差达标判定"/>
            <w:r>
              <w:rPr>
                <w:rFonts w:hint="eastAsia"/>
                <w:b/>
                <w:lang w:val="en-US"/>
              </w:rPr>
              <w:t>达标</w:t>
            </w:r>
            <w:bookmarkEnd w:id="167"/>
          </w:p>
        </w:tc>
        <w:tc>
          <w:tcPr>
            <w:tcW w:w="1416" w:type="dxa"/>
            <w:shd w:val="clear" w:color="auto" w:fill="auto"/>
            <w:vAlign w:val="center"/>
          </w:tcPr>
          <w:p>
            <w:pPr>
              <w:jc w:val="center"/>
              <w:rPr>
                <w:lang w:val="en-US"/>
              </w:rPr>
            </w:pPr>
            <w:bookmarkStart w:id="168" w:name="夏季窗内外风压差得分"/>
            <w:r>
              <w:rPr>
                <w:rFonts w:hint="eastAsia"/>
                <w:lang w:val="en-US"/>
              </w:rPr>
              <w:t>2</w:t>
            </w:r>
            <w:bookmarkEnd w:id="168"/>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r>
        <w:rPr>
          <w:rFonts w:hint="eastAsia"/>
          <w:lang w:val="en-US" w:eastAsia="zh-CN"/>
        </w:rPr>
        <w:t>10</w:t>
      </w:r>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ENT2023</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RiN2EzOTIwNTFkMWRjYjlhM2M2MjEwMTAzOTAyMTAifQ=="/>
  </w:docVars>
  <w:rsids>
    <w:rsidRoot w:val="006D05EC"/>
    <w:rsid w:val="00005045"/>
    <w:rsid w:val="0000578F"/>
    <w:rsid w:val="0002001E"/>
    <w:rsid w:val="000219DF"/>
    <w:rsid w:val="00037A4C"/>
    <w:rsid w:val="000678A8"/>
    <w:rsid w:val="00067FD6"/>
    <w:rsid w:val="00070047"/>
    <w:rsid w:val="00073958"/>
    <w:rsid w:val="00081A16"/>
    <w:rsid w:val="000A23A8"/>
    <w:rsid w:val="000A3C6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3E6A"/>
    <w:rsid w:val="00184656"/>
    <w:rsid w:val="00186918"/>
    <w:rsid w:val="001A38B7"/>
    <w:rsid w:val="001A7C37"/>
    <w:rsid w:val="001B7C87"/>
    <w:rsid w:val="001C1C39"/>
    <w:rsid w:val="001C795C"/>
    <w:rsid w:val="001D3071"/>
    <w:rsid w:val="001D3BB9"/>
    <w:rsid w:val="001D3F33"/>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327C"/>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2116"/>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94FCA"/>
    <w:rsid w:val="0069542D"/>
    <w:rsid w:val="006A07C2"/>
    <w:rsid w:val="006A3243"/>
    <w:rsid w:val="006B6C00"/>
    <w:rsid w:val="006C2D59"/>
    <w:rsid w:val="006C2DCC"/>
    <w:rsid w:val="006D02D6"/>
    <w:rsid w:val="006D05EC"/>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7C7C"/>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82EDB"/>
    <w:rsid w:val="00F97363"/>
    <w:rsid w:val="00FA4B87"/>
    <w:rsid w:val="00FA58D9"/>
    <w:rsid w:val="00FB28FF"/>
    <w:rsid w:val="00FB6C39"/>
    <w:rsid w:val="00FC7756"/>
    <w:rsid w:val="00FE4CC4"/>
    <w:rsid w:val="00FE79B9"/>
    <w:rsid w:val="00FF2243"/>
    <w:rsid w:val="35BB35EC"/>
    <w:rsid w:val="3CFB5C1F"/>
    <w:rsid w:val="5A8E7DB0"/>
    <w:rsid w:val="67F151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autoRedefine/>
    <w:qFormat/>
    <w:uiPriority w:val="0"/>
    <w:rPr>
      <w:rFonts w:ascii="宋体" w:cs="Arial"/>
      <w:b/>
      <w:bCs/>
      <w:iCs/>
      <w:color w:val="000000"/>
      <w:sz w:val="24"/>
      <w:szCs w:val="24"/>
    </w:rPr>
  </w:style>
  <w:style w:type="character" w:customStyle="1" w:styleId="29">
    <w:name w:val="页脚 字符"/>
    <w:link w:val="17"/>
    <w:autoRedefine/>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autoRedefine/>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autoRedefine/>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autoRedefine/>
    <w:qFormat/>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numbering" Target="numbering.xml"/><Relationship Id="rId80" Type="http://schemas.openxmlformats.org/officeDocument/2006/relationships/image" Target="media/image66.jpeg"/><Relationship Id="rId8" Type="http://schemas.openxmlformats.org/officeDocument/2006/relationships/theme" Target="theme/theme1.xml"/><Relationship Id="rId79" Type="http://schemas.openxmlformats.org/officeDocument/2006/relationships/image" Target="media/image65.jpe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jpeg"/><Relationship Id="rId75" Type="http://schemas.openxmlformats.org/officeDocument/2006/relationships/image" Target="media/image61.jpe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567;&#31062;&#31062;\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2767D-3187-4488-A0B8-29F6D89B4DCB}">
  <ds:schemaRefs/>
</ds:datastoreItem>
</file>

<file path=docProps/app.xml><?xml version="1.0" encoding="utf-8"?>
<Properties xmlns="http://schemas.openxmlformats.org/officeDocument/2006/extended-properties" xmlns:vt="http://schemas.openxmlformats.org/officeDocument/2006/docPropsVTypes">
  <Template>tmp2</Template>
  <Company>ths</Company>
  <Pages>22</Pages>
  <Words>1743</Words>
  <Characters>9936</Characters>
  <Lines>82</Lines>
  <Paragraphs>23</Paragraphs>
  <TotalTime>2</TotalTime>
  <ScaleCrop>false</ScaleCrop>
  <LinksUpToDate>false</LinksUpToDate>
  <CharactersWithSpaces>11656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2024-01-07T18:21:00Z</dcterms:created>
  <dc:creator>小祖祖</dc:creator>
  <cp:lastModifiedBy>Mr.z</cp:lastModifiedBy>
  <cp:lastPrinted>1900-12-31T16:00:00Z</cp:lastPrinted>
  <dcterms:modified xsi:type="dcterms:W3CDTF">2024-01-07T18:36:32Z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26922665803A419E940031B75CE1A1F5_12</vt:lpwstr>
  </property>
</Properties>
</file>