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低碳背景下乡村振兴的绿色宜居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76.2</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76.0</w:t>
            </w:r>
          </w:p>
        </w:tc>
        <w:tc>
          <w:tcPr>
            <w:tcW w:w="1900" w:type="dxa"/>
            <w:vAlign w:val="center"/>
          </w:tcPr>
          <w:p>
            <w:pPr>
              <w:spacing w:before="0" w:after="3" w:lineRule="auto"/>
              <w:jc w:val="center"/>
            </w:pPr>
            <w:r>
              <w:rPr>
                <w:rFonts w:hint="eastAsia" w:ascii="宋体" w:hAnsi="宋体"/>
                <w:bCs/>
                <w:color w:val="000000"/>
                <w:sz w:val="24"/>
                <w:szCs w:val="24"/>
              </w:rPr>
              <w:t>90.0</w:t>
            </w:r>
          </w:p>
        </w:tc>
        <w:tc>
          <w:tcPr>
            <w:tcW w:w="1900" w:type="dxa"/>
            <w:vAlign w:val="center"/>
          </w:tcPr>
          <w:p>
            <w:pPr>
              <w:spacing w:before="0" w:after="3" w:lineRule="auto"/>
              <w:jc w:val="center"/>
            </w:pPr>
            <w:r>
              <w:rPr>
                <w:rFonts w:hint="eastAsia" w:ascii="宋体" w:hAnsi="宋体"/>
                <w:bCs/>
                <w:color w:val="000000"/>
                <w:sz w:val="24"/>
                <w:szCs w:val="24"/>
              </w:rPr>
              <w:t>31.0</w:t>
            </w:r>
          </w:p>
        </w:tc>
        <w:tc>
          <w:tcPr>
            <w:tcW w:w="1900" w:type="dxa"/>
            <w:vAlign w:val="center"/>
          </w:tcPr>
          <w:p>
            <w:pPr>
              <w:spacing w:before="0" w:after="3" w:lineRule="auto"/>
              <w:jc w:val="center"/>
            </w:pPr>
            <w:r>
              <w:rPr>
                <w:rFonts w:hint="eastAsia" w:ascii="宋体" w:hAnsi="宋体"/>
                <w:bCs/>
                <w:color w:val="000000"/>
                <w:sz w:val="24"/>
                <w:szCs w:val="24"/>
              </w:rPr>
              <w:t>96.0</w:t>
            </w:r>
          </w:p>
        </w:tc>
        <w:tc>
          <w:tcPr>
            <w:tcW w:w="1900" w:type="dxa"/>
            <w:vAlign w:val="center"/>
          </w:tcPr>
          <w:p>
            <w:pPr>
              <w:spacing w:before="0" w:after="3" w:lineRule="auto"/>
              <w:jc w:val="center"/>
            </w:pPr>
            <w:r>
              <w:rPr>
                <w:rFonts w:hint="eastAsia" w:ascii="宋体" w:hAnsi="宋体"/>
                <w:bCs/>
                <w:color w:val="000000"/>
                <w:sz w:val="24"/>
                <w:szCs w:val="24"/>
              </w:rPr>
              <w:t>64.0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76.2</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5732145" cy="3030864"/>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5732145" cy="3030864"/>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