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303号建筑物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山西-太原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中国五洲工程设计集团有限公司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2024年4月3日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T15010264270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_Toc20956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_Toc20956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_Toc1836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_Toc2162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_Toc30317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_Toc30317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_Toc5832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_Toc5832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_Toc30660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_Toc30660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_Toc19415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_Toc29431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_Toc29431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_Toc14906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_Toc31356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_Toc31356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_Toc21450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_Toc9490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_Toc22351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_Toc21834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_Toc18549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_Toc18549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_Toc26127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_Toc11427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_Toc11427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_Toc11437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_Toc23409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_Toc1007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_Toc26564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_Toc26564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_Toc29000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_Toc3807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_Toc15397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_Toc15397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_Toc17639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_Toc20688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_Toc29364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_Toc29364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_Toc21405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_Toc22234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_Toc22234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_Toc11817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_Toc11817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_Toc19540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_Toc19540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_Toc28668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_Toc28668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_Toc2874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_Toc25804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_Toc23651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_Toc23651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_Toc5674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_Toc16102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_Toc23404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_Toc14039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_Toc29198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_Toc30387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_Toc30387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_Toc10713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_Toc24914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_Toc24914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_Toc19352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_Toc19352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_Toc4194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_Toc4194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_Toc22052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_Toc22052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_Toc11184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_Toc11184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_Toc19717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_Toc19717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_Toc32719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_Toc32719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_Toc27908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_Toc27908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_Toc30427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_Toc30427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_Toc32350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_Toc32350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_Toc27754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_Toc31096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_Toc31096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2381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303号建筑物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山西-太原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37.87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112.53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45374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104.5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216228.07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25911.05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88.9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TitleFormat"/>
      <w:bookmarkStart w:id="30" w:name="_Toc20956"/>
      <w:r>
        <w:rPr>
          <w:rFonts w:hint="eastAsia"/>
        </w:rPr>
        <w:t>计算依据</w:t>
      </w:r>
      <w:bookmarkEnd w:id="29"/>
      <w:bookmarkEnd w:id="30"/>
    </w:p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25351"/>
      <w:bookmarkStart w:id="34" w:name="_Toc1836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2162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30317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9787735"/>
      <w:bookmarkStart w:id="42" w:name="_Toc58336110"/>
      <w:bookmarkStart w:id="43" w:name="_Toc59800596"/>
      <w:bookmarkStart w:id="44" w:name="_Toc5832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30660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19415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山西-太原, 《建筑节能气象参数标准》</w:t>
      </w:r>
      <w:bookmarkEnd w:id="48"/>
    </w:p>
    <w:p>
      <w:pPr>
        <w:pStyle w:val="4"/>
      </w:pPr>
      <w:bookmarkStart w:id="49" w:name="_Toc29431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95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1" w:name="_Toc14906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6" w:name="_GoBack"/>
      <w:bookmarkEnd w:id="176"/>
    </w:p>
    <w:p>
      <w:pPr>
        <w:pStyle w:val="4"/>
      </w:pPr>
      <w:bookmarkStart w:id="53" w:name="_Toc31356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08月17日16时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24.4</w:t>
            </w:r>
          </w:p>
        </w:tc>
        <w:tc>
          <w:tcPr>
            <w:vAlign w:val="center"/>
          </w:tcPr>
          <w:p>
            <w:r>
              <w:t>17.2</w:t>
            </w:r>
          </w:p>
        </w:tc>
        <w:tc>
          <w:tcPr>
            <w:vAlign w:val="center"/>
          </w:tcPr>
          <w:p>
            <w:r>
              <w:t>79.3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11月21日08时</w:t>
            </w:r>
          </w:p>
        </w:tc>
        <w:tc>
          <w:tcPr>
            <w:vAlign w:val="center"/>
          </w:tcPr>
          <w:p>
            <w:r>
              <w:t>-20.6</w:t>
            </w:r>
          </w:p>
        </w:tc>
        <w:tc>
          <w:tcPr>
            <w:vAlign w:val="center"/>
          </w:tcPr>
          <w:p>
            <w:r>
              <w:t>-20.6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-19.4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1450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9490"/>
      <w:r>
        <w:t>工程材料</w:t>
      </w:r>
      <w:bookmarkEnd w:id="56"/>
    </w:p>
    <w:p>
      <w:pPr>
        <w:pStyle w:val="5"/>
        <w:widowControl w:val="0"/>
        <w:jc w:val="both"/>
      </w:pPr>
      <w:bookmarkStart w:id="57" w:name="_Toc22351"/>
      <w:r>
        <w:t>普通材料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地砖（1）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1158.0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广西居住建筑节能设计标准 DB45221—2007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3.429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玻化微珠保温浆料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1.462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无机纤维喷涂</w:t>
            </w:r>
          </w:p>
        </w:tc>
        <w:tc>
          <w:tcPr>
            <w:vAlign w:val="center"/>
          </w:tcPr>
          <w:p>
            <w:r>
              <w:t>0.038</w:t>
            </w:r>
          </w:p>
        </w:tc>
        <w:tc>
          <w:tcPr>
            <w:vAlign w:val="center"/>
          </w:tcPr>
          <w:p>
            <w:r>
              <w:t>0.850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2178.7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挤塑聚苯板（xps）(屋面楼板)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轻骨料混凝土（找坡层）（ρ：1000-1100）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2195.0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山西居住建筑节能设计标准 DBJ0-242-2020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玻璃棉板、毡（ρ≥40）</w:t>
            </w:r>
          </w:p>
        </w:tc>
        <w:tc>
          <w:tcPr>
            <w:vAlign w:val="center"/>
          </w:tcPr>
          <w:p>
            <w:r>
              <w:t>0.035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982213.4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石材幕墙饰面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2916.2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5"/>
        <w:widowControl w:val="0"/>
        <w:jc w:val="both"/>
      </w:pPr>
      <w:bookmarkStart w:id="58" w:name="_Toc21834"/>
      <w:r>
        <w:t>其他材料</w:t>
      </w:r>
      <w:bookmarkEnd w:id="58"/>
    </w:p>
    <w:tbl>
      <w:tblPr>
        <w:tblStyle w:val="19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竖向10mm空气层(冬季)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0.141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</w:t>
            </w:r>
          </w:p>
        </w:tc>
      </w:tr>
    </w:tbl>
    <w:p>
      <w:pPr>
        <w:pStyle w:val="4"/>
        <w:widowControl w:val="0"/>
        <w:jc w:val="both"/>
      </w:pPr>
      <w:bookmarkStart w:id="59" w:name="_Toc18549"/>
      <w:r>
        <w:t>围护结构作法简要说明</w:t>
      </w:r>
      <w:bookmarkEnd w:id="5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(K=0.317,D=4.082)：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地砖（1） 30mm＋聚合物水泥石灰砂浆 30mm＋SBS改性沥青防水卷材 8mm＋水泥砂浆 20mm＋轻骨料混凝土（找坡层）（ρ：1000-1100） 20mm＋</w:t>
      </w:r>
      <w:r>
        <w:rPr>
          <w:color w:val="800000"/>
        </w:rPr>
        <w:t>挤塑聚苯板（xps）(屋面楼板) 100mm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＋地砖（1）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(K=0.278,D=27.353)：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石材幕墙饰面 3mm＋龙骨+空气层 0mm＋聚合物水泥石灰砂浆 1.5mm＋聚合物水泥石灰砂浆 10mm＋水泥砂浆 3mm＋</w:t>
      </w:r>
      <w:r>
        <w:rPr>
          <w:color w:val="800000"/>
        </w:rPr>
        <w:t>玻璃棉板、毡（ρ≥40） 80mm</w:t>
      </w:r>
      <w:r>
        <w:rPr>
          <w:color w:val="000000"/>
        </w:rPr>
        <w:t>＋加气混凝土砌块 250mm＋地砖（1）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外墙（剪力墙）构造二 (K=0.339,D=29.192)：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石材幕墙饰面 3mm＋竖向10mm空气层(冬季) 10mm＋聚合物水泥石灰砂浆 1.5mm＋聚合物水泥石灰砂浆 10mm＋水泥砂浆 3mm＋</w:t>
      </w:r>
      <w:r>
        <w:rPr>
          <w:color w:val="800000"/>
        </w:rPr>
        <w:t>玻璃棉板、毡（ρ≥40） 80mm</w:t>
      </w:r>
      <w:r>
        <w:rPr>
          <w:color w:val="000000"/>
        </w:rPr>
        <w:t>＋</w:t>
      </w:r>
      <w:r>
        <w:rPr>
          <w:color w:val="800080"/>
        </w:rPr>
        <w:t>钢筋混凝土 600mm</w:t>
      </w:r>
      <w:r>
        <w:rPr>
          <w:color w:val="000000"/>
        </w:rPr>
        <w:t>＋地砖（1）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  <w:sz w:val="21"/>
          <w:szCs w:val="21"/>
        </w:rPr>
        <w:t>热桥柱构造二 (K=0.298,D=36.112)：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石材幕墙饰面 3mm＋竖向10mm空气层(冬季) 10mm＋聚合物水泥石灰砂浆 1.5mm＋聚合物水泥石灰砂浆 10mm＋水泥砂浆 3mm＋</w:t>
      </w:r>
      <w:r>
        <w:rPr>
          <w:color w:val="800000"/>
        </w:rPr>
        <w:t>玻璃棉板、毡（ρ≥40） 80mm</w:t>
      </w:r>
      <w:r>
        <w:rPr>
          <w:color w:val="000000"/>
        </w:rPr>
        <w:t>＋</w:t>
      </w:r>
      <w:r>
        <w:rPr>
          <w:color w:val="800080"/>
        </w:rPr>
        <w:t>钢筋混凝土 1300mm</w:t>
      </w:r>
      <w:r>
        <w:rPr>
          <w:color w:val="000000"/>
        </w:rPr>
        <w:t>＋地砖（1）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(K=0.450,D=2.597)：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地砖（1） 20mm＋钢筋混凝土 100mm＋</w:t>
      </w:r>
      <w:r>
        <w:rPr>
          <w:color w:val="800000"/>
        </w:rPr>
        <w:t>岩棉板(ρ=60-160) 90mm</w:t>
      </w:r>
      <w:r>
        <w:rPr>
          <w:color w:val="000000"/>
        </w:rPr>
        <w:t>＋抗裂砂浆（网格布） 5mm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  <w:sz w:val="21"/>
          <w:szCs w:val="21"/>
        </w:rPr>
        <w:t>采暖与非采暖隔墙 (K=1.163,D=2.957)：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玻化微珠保温浆料 40mm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65系列平开下悬铝合金断热窗6+15Ar+6LowE(窗框比0.3) (K=1.900)：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传热系数1.900W/㎡.K，窗太阳得热系数0.252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65系列平开下悬铝合金断热窗6+15Ar+6LowE(窗框比0.3) (K=1.900)：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传热系数1.900W/㎡.K，窗太阳得热系数0.252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周边地面构造一 (K=1.167,D=1.611)：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地砖（1）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挤塑聚苯板（xps）(屋面楼板) 20mm</w:t>
      </w:r>
    </w:p>
    <w:p>
      <w:pPr>
        <w:pStyle w:val="2"/>
        <w:widowControl w:val="0"/>
        <w:jc w:val="both"/>
        <w:rPr>
          <w:color w:val="000000"/>
        </w:rPr>
      </w:pPr>
      <w:bookmarkStart w:id="60" w:name="_Toc26127"/>
      <w:r>
        <w:rPr>
          <w:color w:val="000000"/>
        </w:rPr>
        <w:t>围护结构概况</w:t>
      </w:r>
      <w:bookmarkEnd w:id="60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6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4.08</w:t>
            </w:r>
            <w:bookmarkEnd w:id="6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6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3.81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6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28.12</w:t>
            </w:r>
            <w:bookmarkEnd w:id="6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外墙K"/>
            <w:bookmarkStart w:id="70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9"/>
            <w:bookmarkEnd w:id="70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籍建筑外墙D"/>
            <w:bookmarkStart w:id="72" w:name="参照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13.66</w:t>
            </w:r>
            <w:bookmarkEnd w:id="71"/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  <w:bookmarkEnd w:id="7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  <w:bookmarkEnd w:id="7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7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2.45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2" w:name="_Toc11427"/>
      <w:r>
        <w:rPr>
          <w:color w:val="000000"/>
        </w:rPr>
        <w:t>设计建筑</w:t>
      </w:r>
      <w:bookmarkEnd w:id="82"/>
    </w:p>
    <w:p>
      <w:pPr>
        <w:pStyle w:val="4"/>
        <w:widowControl w:val="0"/>
        <w:jc w:val="both"/>
        <w:rPr>
          <w:color w:val="000000"/>
        </w:rPr>
      </w:pPr>
      <w:bookmarkStart w:id="83" w:name="_Toc11437"/>
      <w:r>
        <w:rPr>
          <w:color w:val="000000"/>
        </w:rPr>
        <w:t>房间类型</w:t>
      </w:r>
      <w:bookmarkEnd w:id="83"/>
    </w:p>
    <w:p>
      <w:pPr>
        <w:pStyle w:val="5"/>
        <w:widowControl w:val="0"/>
        <w:jc w:val="both"/>
        <w:rPr>
          <w:color w:val="000000"/>
        </w:rPr>
      </w:pPr>
      <w:bookmarkStart w:id="84" w:name="_Toc23409"/>
      <w:r>
        <w:rPr>
          <w:color w:val="000000"/>
        </w:rPr>
        <w:t>房间参数表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6.35(W/㎡)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10.38(W/㎡)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5" w:name="_Toc1007"/>
      <w:r>
        <w:rPr>
          <w:color w:val="000000"/>
        </w:rPr>
        <w:t>作息时间表</w:t>
      </w:r>
      <w:bookmarkEnd w:id="8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86" w:name="_Toc26564"/>
      <w:r>
        <w:rPr>
          <w:color w:val="000000"/>
        </w:rPr>
        <w:t>系统类型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29000"/>
      <w:r>
        <w:rPr>
          <w:color w:val="000000"/>
        </w:rPr>
        <w:t>系统分区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34053.21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3807"/>
      <w:r>
        <w:rPr>
          <w:color w:val="000000"/>
        </w:rPr>
        <w:t>热回收参数</w:t>
      </w:r>
      <w:bookmarkEnd w:id="8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9" w:name="_Toc15397"/>
      <w:r>
        <w:rPr>
          <w:color w:val="000000"/>
        </w:rPr>
        <w:t>制冷系统</w:t>
      </w:r>
      <w:bookmarkEnd w:id="89"/>
    </w:p>
    <w:p>
      <w:pPr>
        <w:pStyle w:val="5"/>
        <w:widowControl w:val="0"/>
        <w:jc w:val="both"/>
        <w:rPr>
          <w:color w:val="000000"/>
        </w:rPr>
      </w:pPr>
      <w:bookmarkStart w:id="90" w:name="_Toc17639"/>
      <w:r>
        <w:rPr>
          <w:color w:val="000000"/>
        </w:rPr>
        <w:t>多联机/单元式空调能耗</w:t>
      </w:r>
      <w:bookmarkEnd w:id="9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1110480</w:t>
            </w:r>
          </w:p>
        </w:tc>
        <w:tc>
          <w:tcPr>
            <w:vAlign w:val="center"/>
          </w:tcPr>
          <w:p>
            <w:r>
              <w:t>258252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1" w:name="_Toc20688"/>
      <w:r>
        <w:rPr>
          <w:color w:val="000000"/>
        </w:rPr>
        <w:t>供暖系统</w:t>
      </w:r>
      <w:bookmarkEnd w:id="91"/>
    </w:p>
    <w:p>
      <w:pPr>
        <w:pStyle w:val="4"/>
        <w:widowControl w:val="0"/>
        <w:jc w:val="both"/>
        <w:rPr>
          <w:color w:val="000000"/>
        </w:rPr>
      </w:pPr>
      <w:bookmarkStart w:id="92" w:name="_Toc29364"/>
      <w:r>
        <w:rPr>
          <w:color w:val="000000"/>
        </w:rPr>
        <w:t>空调风机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21405"/>
      <w:r>
        <w:rPr>
          <w:color w:val="000000"/>
        </w:rPr>
        <w:t>独立新排风</w:t>
      </w:r>
      <w:bookmarkEnd w:id="9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120157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28838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40488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40488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96126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23070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32391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32391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22234"/>
      <w:r>
        <w:rPr>
          <w:color w:val="000000"/>
        </w:rPr>
        <w:t>照明</w:t>
      </w:r>
      <w:bookmarkEnd w:id="9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4.99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2404</w:t>
            </w:r>
          </w:p>
        </w:tc>
        <w:tc>
          <w:tcPr>
            <w:vAlign w:val="center"/>
          </w:tcPr>
          <w:p>
            <w:r>
              <w:t>12002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3.93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1210</w:t>
            </w:r>
          </w:p>
        </w:tc>
        <w:tc>
          <w:tcPr>
            <w:vAlign w:val="center"/>
          </w:tcPr>
          <w:p>
            <w:r>
              <w:t>4755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4.07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992</w:t>
            </w:r>
          </w:p>
        </w:tc>
        <w:tc>
          <w:tcPr>
            <w:vAlign w:val="center"/>
          </w:tcPr>
          <w:p>
            <w:r>
              <w:t>4040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r>
              <w:t>6.29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18738</w:t>
            </w:r>
          </w:p>
        </w:tc>
        <w:tc>
          <w:tcPr>
            <w:vAlign w:val="center"/>
          </w:tcPr>
          <w:p>
            <w:r>
              <w:t>117861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8.16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2073</w:t>
            </w:r>
          </w:p>
        </w:tc>
        <w:tc>
          <w:tcPr>
            <w:vAlign w:val="center"/>
          </w:tcPr>
          <w:p>
            <w:r>
              <w:t>16917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6.29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6982</w:t>
            </w:r>
          </w:p>
        </w:tc>
        <w:tc>
          <w:tcPr>
            <w:vAlign w:val="center"/>
          </w:tcPr>
          <w:p>
            <w:r>
              <w:t>43915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r>
              <w:t>4.72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137</w:t>
            </w:r>
          </w:p>
        </w:tc>
        <w:tc>
          <w:tcPr>
            <w:vAlign w:val="center"/>
          </w:tcPr>
          <w:p>
            <w:r>
              <w:t>645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3096</w:t>
            </w:r>
          </w:p>
        </w:tc>
        <w:tc>
          <w:tcPr>
            <w:vAlign w:val="center"/>
          </w:tcPr>
          <w:p>
            <w:r>
              <w:t>13945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627</w:t>
            </w:r>
          </w:p>
        </w:tc>
        <w:tc>
          <w:tcPr>
            <w:vAlign w:val="center"/>
          </w:tcPr>
          <w:p>
            <w:r>
              <w:t>3743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16.85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1597</w:t>
            </w:r>
          </w:p>
        </w:tc>
        <w:tc>
          <w:tcPr>
            <w:vAlign w:val="center"/>
          </w:tcPr>
          <w:p>
            <w:r>
              <w:t>26901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4.15</w:t>
            </w:r>
          </w:p>
        </w:tc>
        <w:tc>
          <w:tcPr>
            <w:vAlign w:val="center"/>
          </w:tcPr>
          <w:p>
            <w:r>
              <w:t>164</w:t>
            </w:r>
          </w:p>
        </w:tc>
        <w:tc>
          <w:tcPr>
            <w:vAlign w:val="center"/>
          </w:tcPr>
          <w:p>
            <w:r>
              <w:t>3701</w:t>
            </w:r>
          </w:p>
        </w:tc>
        <w:tc>
          <w:tcPr>
            <w:vAlign w:val="center"/>
          </w:tcPr>
          <w:p>
            <w:r>
              <w:t>15344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256324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5" w:name="_Toc11817"/>
      <w:r>
        <w:rPr>
          <w:color w:val="000000"/>
        </w:rPr>
        <w:t>负荷分项统计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6.87</w:t>
            </w:r>
          </w:p>
        </w:tc>
        <w:tc>
          <w:tcPr>
            <w:vAlign w:val="center"/>
          </w:tcPr>
          <w:p>
            <w:r>
              <w:t>11.62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4.19</w:t>
            </w:r>
          </w:p>
        </w:tc>
        <w:tc>
          <w:tcPr>
            <w:vAlign w:val="center"/>
          </w:tcPr>
          <w:p>
            <w:r>
              <w:t>-0.21</w:t>
            </w:r>
          </w:p>
        </w:tc>
        <w:tc>
          <w:tcPr>
            <w:vAlign w:val="center"/>
          </w:tcPr>
          <w:p>
            <w:r>
              <w:t>24.47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96" w:name="_Toc19540"/>
      <w:r>
        <w:t>逐月负荷表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183927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2050.127</w:t>
            </w:r>
          </w:p>
        </w:tc>
        <w:tc>
          <w:tcPr>
            <w:vAlign w:val="center"/>
          </w:tcPr>
          <w:p>
            <w:r>
              <w:t>6月25日15时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470465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2919.904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7月22日15时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456090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2576.273</w:t>
            </w:r>
          </w:p>
        </w:tc>
        <w:tc>
          <w:tcPr>
            <w:vAlign w:val="center"/>
          </w:tcPr>
          <w:p>
            <w:r>
              <w:t>8月9日16时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97" w:name="_Toc28668"/>
      <w:r>
        <w:t>逐月电耗</w:t>
      </w:r>
      <w:bookmarkEnd w:id="9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8" w:name="_Toc2874"/>
      <w:r>
        <w:rPr>
          <w:color w:val="000000"/>
        </w:rPr>
        <w:t>参照建筑</w:t>
      </w:r>
      <w:bookmarkEnd w:id="98"/>
    </w:p>
    <w:p>
      <w:pPr>
        <w:pStyle w:val="4"/>
        <w:widowControl w:val="0"/>
        <w:jc w:val="both"/>
        <w:rPr>
          <w:color w:val="000000"/>
        </w:rPr>
      </w:pPr>
      <w:bookmarkStart w:id="99" w:name="_Toc25804"/>
      <w:r>
        <w:rPr>
          <w:color w:val="000000"/>
        </w:rPr>
        <w:t>房间类型</w:t>
      </w:r>
      <w:bookmarkEnd w:id="99"/>
    </w:p>
    <w:p>
      <w:pPr>
        <w:pStyle w:val="5"/>
        <w:widowControl w:val="0"/>
        <w:jc w:val="both"/>
        <w:rPr>
          <w:color w:val="000000"/>
        </w:rPr>
      </w:pPr>
      <w:bookmarkStart w:id="100" w:name="_Toc23651"/>
      <w:r>
        <w:rPr>
          <w:color w:val="000000"/>
        </w:rPr>
        <w:t>房间参数表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1" w:name="_Toc5674"/>
      <w:r>
        <w:rPr>
          <w:color w:val="000000"/>
        </w:rPr>
        <w:t>作息时间表</w:t>
      </w:r>
      <w:bookmarkEnd w:id="10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102" w:name="_Toc16102"/>
      <w:r>
        <w:rPr>
          <w:color w:val="000000"/>
        </w:rPr>
        <w:t>系统类型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3" w:name="_Toc23404"/>
      <w:r>
        <w:rPr>
          <w:color w:val="000000"/>
        </w:rPr>
        <w:t>制冷系统</w:t>
      </w:r>
      <w:bookmarkEnd w:id="103"/>
    </w:p>
    <w:p>
      <w:pPr>
        <w:pStyle w:val="5"/>
        <w:widowControl w:val="0"/>
        <w:jc w:val="both"/>
        <w:rPr>
          <w:color w:val="000000"/>
        </w:rPr>
      </w:pPr>
      <w:bookmarkStart w:id="104" w:name="_Toc14039"/>
      <w:r>
        <w:rPr>
          <w:color w:val="000000"/>
        </w:rPr>
        <w:t>多联机/单元式空调能耗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1570880</w:t>
            </w:r>
          </w:p>
        </w:tc>
        <w:tc>
          <w:tcPr>
            <w:vAlign w:val="center"/>
          </w:tcPr>
          <w:p>
            <w:r>
              <w:t>581807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5" w:name="_Toc29198"/>
      <w:r>
        <w:rPr>
          <w:color w:val="000000"/>
        </w:rPr>
        <w:t>供暖系统</w:t>
      </w:r>
      <w:bookmarkEnd w:id="105"/>
    </w:p>
    <w:p>
      <w:pPr>
        <w:pStyle w:val="4"/>
        <w:widowControl w:val="0"/>
        <w:jc w:val="both"/>
        <w:rPr>
          <w:color w:val="000000"/>
        </w:rPr>
      </w:pPr>
      <w:bookmarkStart w:id="106" w:name="_Toc30387"/>
      <w:r>
        <w:rPr>
          <w:color w:val="000000"/>
        </w:rPr>
        <w:t>空调风机</w:t>
      </w:r>
      <w:bookmarkEnd w:id="106"/>
    </w:p>
    <w:p>
      <w:pPr>
        <w:pStyle w:val="5"/>
        <w:widowControl w:val="0"/>
        <w:jc w:val="both"/>
        <w:rPr>
          <w:color w:val="000000"/>
        </w:rPr>
      </w:pPr>
      <w:bookmarkStart w:id="107" w:name="_Toc10713"/>
      <w:r>
        <w:rPr>
          <w:color w:val="000000"/>
        </w:rPr>
        <w:t>独立新排风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195651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46956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65926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65926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156520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37565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52741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52741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8" w:name="_Toc24914"/>
      <w:r>
        <w:rPr>
          <w:color w:val="000000"/>
        </w:rPr>
        <w:t>照明</w:t>
      </w:r>
      <w:bookmarkEnd w:id="108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7.08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2404</w:t>
            </w:r>
          </w:p>
        </w:tc>
        <w:tc>
          <w:tcPr>
            <w:vAlign w:val="center"/>
          </w:tcPr>
          <w:p>
            <w:r>
              <w:t>17010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4.72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1210</w:t>
            </w:r>
          </w:p>
        </w:tc>
        <w:tc>
          <w:tcPr>
            <w:vAlign w:val="center"/>
          </w:tcPr>
          <w:p>
            <w:r>
              <w:t>5706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8.65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992</w:t>
            </w:r>
          </w:p>
        </w:tc>
        <w:tc>
          <w:tcPr>
            <w:vAlign w:val="center"/>
          </w:tcPr>
          <w:p>
            <w:r>
              <w:t>8580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r>
              <w:t>11.79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18738</w:t>
            </w:r>
          </w:p>
        </w:tc>
        <w:tc>
          <w:tcPr>
            <w:vAlign w:val="center"/>
          </w:tcPr>
          <w:p>
            <w:r>
              <w:t>220990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r>
              <w:t>7.08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2073</w:t>
            </w:r>
          </w:p>
        </w:tc>
        <w:tc>
          <w:tcPr>
            <w:vAlign w:val="center"/>
          </w:tcPr>
          <w:p>
            <w:r>
              <w:t>14668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7.08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6982</w:t>
            </w:r>
          </w:p>
        </w:tc>
        <w:tc>
          <w:tcPr>
            <w:vAlign w:val="center"/>
          </w:tcPr>
          <w:p>
            <w:r>
              <w:t>49404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137</w:t>
            </w:r>
          </w:p>
        </w:tc>
        <w:tc>
          <w:tcPr>
            <w:vAlign w:val="center"/>
          </w:tcPr>
          <w:p>
            <w:r>
              <w:t>752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7.72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3096</w:t>
            </w:r>
          </w:p>
        </w:tc>
        <w:tc>
          <w:tcPr>
            <w:vAlign w:val="center"/>
          </w:tcPr>
          <w:p>
            <w:r>
              <w:t>23905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627</w:t>
            </w:r>
          </w:p>
        </w:tc>
        <w:tc>
          <w:tcPr>
            <w:vAlign w:val="center"/>
          </w:tcPr>
          <w:p>
            <w:r>
              <w:t>3743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16.85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1597</w:t>
            </w:r>
          </w:p>
        </w:tc>
        <w:tc>
          <w:tcPr>
            <w:vAlign w:val="center"/>
          </w:tcPr>
          <w:p>
            <w:r>
              <w:t>26901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164</w:t>
            </w:r>
          </w:p>
        </w:tc>
        <w:tc>
          <w:tcPr>
            <w:vAlign w:val="center"/>
          </w:tcPr>
          <w:p>
            <w:r>
              <w:t>3701</w:t>
            </w:r>
          </w:p>
        </w:tc>
        <w:tc>
          <w:tcPr>
            <w:vAlign w:val="center"/>
          </w:tcPr>
          <w:p>
            <w:r>
              <w:t>20459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388374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9" w:name="_Toc19352"/>
      <w:r>
        <w:rPr>
          <w:color w:val="000000"/>
        </w:rPr>
        <w:t>负荷分项统计</w:t>
      </w:r>
      <w:bookmarkEnd w:id="10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9.98</w:t>
            </w:r>
          </w:p>
        </w:tc>
        <w:tc>
          <w:tcPr>
            <w:vAlign w:val="center"/>
          </w:tcPr>
          <w:p>
            <w:r>
              <w:t>14.80</w:t>
            </w:r>
          </w:p>
        </w:tc>
        <w:tc>
          <w:tcPr>
            <w:vAlign w:val="center"/>
          </w:tcPr>
          <w:p>
            <w:r>
              <w:t>3.30</w:t>
            </w:r>
          </w:p>
        </w:tc>
        <w:tc>
          <w:tcPr>
            <w:vAlign w:val="center"/>
          </w:tcPr>
          <w:p>
            <w:r>
              <w:t>6.54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34.62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10" w:name="_Toc4194"/>
      <w:r>
        <w:t>逐月负荷表</w:t>
      </w:r>
      <w:bookmarkEnd w:id="11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257454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2861.059</w:t>
            </w:r>
          </w:p>
        </w:tc>
        <w:tc>
          <w:tcPr>
            <w:vAlign w:val="center"/>
          </w:tcPr>
          <w:p>
            <w:r>
              <w:t>6月25日15时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667404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4157.481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7月22日15时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646022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3631.538</w:t>
            </w:r>
          </w:p>
        </w:tc>
        <w:tc>
          <w:tcPr>
            <w:vAlign w:val="center"/>
          </w:tcPr>
          <w:p>
            <w:r>
              <w:t>8月9日16时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11" w:name="_Toc22052"/>
      <w:r>
        <w:t>逐月电耗</w:t>
      </w:r>
      <w:bookmarkEnd w:id="11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2" w:name="_Toc11184"/>
      <w:r>
        <w:rPr>
          <w:color w:val="000000"/>
        </w:rPr>
        <w:t>计算结果</w:t>
      </w:r>
      <w:bookmarkEnd w:id="112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别名"/>
            <w:r>
              <w:rPr>
                <w:rFonts w:hint="eastAsia"/>
                <w:lang w:val="en-US"/>
              </w:rPr>
              <w:t>节能率</w:t>
            </w:r>
            <w:bookmarkEnd w:id="113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耗冷量2"/>
            <w:r>
              <w:rPr>
                <w:rFonts w:hint="eastAsia"/>
                <w:lang w:val="en-US"/>
              </w:rPr>
              <w:t>24.47</w:t>
            </w:r>
            <w:bookmarkEnd w:id="11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量2"/>
            <w:r>
              <w:rPr>
                <w:rFonts w:hint="eastAsia"/>
                <w:lang w:val="en-US"/>
              </w:rPr>
              <w:t>34.62</w:t>
            </w:r>
            <w:bookmarkEnd w:id="11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冷量2"/>
            <w:r>
              <w:rPr>
                <w:rFonts w:hint="eastAsia"/>
                <w:kern w:val="2"/>
                <w:szCs w:val="24"/>
                <w:lang w:val="en-US"/>
              </w:rPr>
              <w:t>29.31%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耗热量2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耗热量2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耗冷耗热量2"/>
            <w:r>
              <w:rPr>
                <w:rFonts w:hint="eastAsia"/>
                <w:lang w:val="en-US"/>
              </w:rPr>
              <w:t>24.47</w:t>
            </w:r>
            <w:bookmarkEnd w:id="120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耗冷耗热量2"/>
            <w:r>
              <w:rPr>
                <w:rFonts w:hint="eastAsia"/>
                <w:lang w:val="en-US"/>
              </w:rPr>
              <w:t>34.62</w:t>
            </w:r>
            <w:bookmarkEnd w:id="12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29.31%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热回收供冷负荷"/>
            <w:r>
              <w:rPr>
                <w:rFonts w:hint="eastAsia"/>
                <w:lang w:val="en-US"/>
              </w:rPr>
              <w:t>0.21</w:t>
            </w:r>
            <w:bookmarkEnd w:id="123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热回收供暖负荷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负荷"/>
            <w:r>
              <w:rPr>
                <w:rFonts w:hint="eastAsia"/>
                <w:lang w:val="en-US"/>
              </w:rPr>
              <w:t>0.21</w:t>
            </w:r>
            <w:bookmarkEnd w:id="125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冷源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源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能耗"/>
            <w:r>
              <w:rPr>
                <w:lang w:val="en-US"/>
              </w:rPr>
              <w:t>55.61%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冷却水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冷却水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冷冻水泵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冷冻水泵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冷却塔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却塔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单元式空调能耗"/>
            <w:r>
              <w:rPr>
                <w:lang w:val="en-US"/>
              </w:rPr>
              <w:t>5.69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单元式空调能耗"/>
            <w:r>
              <w:rPr>
                <w:lang w:val="en-US"/>
              </w:rPr>
              <w:t>12.82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空调能耗"/>
            <w:r>
              <w:rPr>
                <w:lang w:val="en-US"/>
              </w:rPr>
              <w:t>5.69</w:t>
            </w:r>
            <w:bookmarkEnd w:id="13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空调能耗"/>
            <w:r>
              <w:rPr>
                <w:lang w:val="en-US"/>
              </w:rPr>
              <w:t>12.82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热源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热源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供暖能耗"/>
            <w:r>
              <w:rPr>
                <w:rFonts w:hint="eastAsia"/>
                <w:lang w:val="en-US"/>
              </w:rPr>
              <w:t>-</w:t>
            </w:r>
            <w:bookmarkEnd w:id="1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热水泵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热水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热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单元式热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供暖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供暖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新排风系统能耗"/>
            <w:r>
              <w:rPr>
                <w:rFonts w:hint="eastAsia"/>
                <w:lang w:val="en-US"/>
              </w:rPr>
              <w:t>1.61</w:t>
            </w:r>
            <w:bookmarkEnd w:id="14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新排风系统能耗"/>
            <w:r>
              <w:rPr>
                <w:lang w:val="en-US"/>
              </w:rPr>
              <w:t>2.62</w:t>
            </w:r>
            <w:bookmarkEnd w:id="150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节能率空调动力能耗"/>
            <w:r>
              <w:rPr>
                <w:rFonts w:hint="eastAsia"/>
                <w:lang w:val="en-US"/>
              </w:rPr>
              <w:t>38.55%</w:t>
            </w:r>
            <w:bookmarkEnd w:id="1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风机盘管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风机盘管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全空气系统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空调动力能耗"/>
            <w:r>
              <w:rPr>
                <w:rFonts w:hint="eastAsia"/>
                <w:lang w:val="en-US"/>
              </w:rPr>
              <w:t>1.61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空调动力能耗"/>
            <w:r>
              <w:rPr>
                <w:rFonts w:hint="eastAsia"/>
                <w:lang w:val="en-US"/>
              </w:rPr>
              <w:t>2.62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空调供暖风机能耗"/>
            <w:r>
              <w:rPr>
                <w:rFonts w:hint="eastAsia"/>
                <w:lang w:val="en-US"/>
              </w:rPr>
              <w:t>7.30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空调供暖风机能耗"/>
            <w:r>
              <w:rPr>
                <w:lang w:val="en-US"/>
              </w:rPr>
              <w:t>15.44</w:t>
            </w:r>
            <w:bookmarkEnd w:id="15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空调供暖风机能耗"/>
            <w:r>
              <w:rPr>
                <w:rFonts w:hint="eastAsia"/>
                <w:lang w:val="en-US"/>
              </w:rPr>
              <w:t>52.72%</w:t>
            </w:r>
            <w:bookmarkEnd w:id="1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照明能耗"/>
            <w:r>
              <w:rPr>
                <w:rFonts w:hint="eastAsia"/>
                <w:lang w:val="en-US"/>
              </w:rPr>
              <w:t>5.34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照明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节能率照明能耗"/>
            <w:r>
              <w:rPr>
                <w:rFonts w:hint="eastAsia"/>
                <w:lang w:val="en-US"/>
              </w:rPr>
              <w:t>-</w:t>
            </w:r>
            <w:bookmarkEnd w:id="1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供暖空调照明风机能耗"/>
            <w:r>
              <w:rPr>
                <w:rFonts w:hint="eastAsia"/>
                <w:lang w:val="en-US"/>
              </w:rPr>
              <w:t>7.30</w:t>
            </w:r>
            <w:bookmarkEnd w:id="16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供暖空调照明风机能耗"/>
            <w:r>
              <w:rPr>
                <w:rFonts w:hint="eastAsia"/>
                <w:lang w:val="en-US"/>
              </w:rPr>
              <w:t>15.44</w:t>
            </w:r>
            <w:bookmarkEnd w:id="165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节能率供暖空调照明风机能耗"/>
            <w:r>
              <w:rPr>
                <w:rFonts w:hint="eastAsia"/>
                <w:lang w:val="en-US"/>
              </w:rPr>
              <w:t>52.72%</w:t>
            </w:r>
            <w:bookmarkEnd w:id="16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67" w:name="_Toc19717"/>
      <w:r>
        <w:rPr>
          <w:color w:val="000000"/>
        </w:rPr>
        <w:t>绿色建筑性能评估得分</w:t>
      </w:r>
      <w:bookmarkEnd w:id="16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68" w:name="节能率计算目标"/>
            <w:r>
              <w:t>52.72%</w:t>
            </w:r>
            <w:bookmarkEnd w:id="168"/>
          </w:p>
        </w:tc>
        <w:tc>
          <w:tcPr>
            <w:tcW w:w="706" w:type="dxa"/>
            <w:vAlign w:val="center"/>
          </w:tcPr>
          <w:p>
            <w:bookmarkStart w:id="169" w:name="得分计算目标"/>
            <w:r>
              <w:t>10</w:t>
            </w:r>
            <w:bookmarkEnd w:id="16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67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6386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70" w:name="_Toc32719"/>
      <w:r>
        <w:rPr>
          <w:color w:val="000000"/>
        </w:rPr>
        <w:t>附录</w:t>
      </w:r>
      <w:bookmarkEnd w:id="170"/>
    </w:p>
    <w:p>
      <w:pPr>
        <w:pStyle w:val="4"/>
        <w:widowControl w:val="0"/>
        <w:jc w:val="both"/>
        <w:rPr>
          <w:color w:val="000000"/>
        </w:rPr>
      </w:pPr>
      <w:bookmarkStart w:id="171" w:name="_Toc27908"/>
      <w:r>
        <w:rPr>
          <w:color w:val="000000"/>
        </w:rPr>
        <w:t>工作日/节假日人员逐时在室率(%)</w:t>
      </w:r>
      <w:bookmarkEnd w:id="17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72" w:name="_Toc30427"/>
      <w:r>
        <w:t>工作日/节假日照明开关时间表(%)</w:t>
      </w:r>
      <w:bookmarkEnd w:id="17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3" w:name="_Toc32350"/>
      <w:r>
        <w:t>工作日/节假日设备逐时使用率(%)</w:t>
      </w:r>
      <w:bookmarkEnd w:id="17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4" w:name="_Toc27754"/>
      <w:r>
        <w:t>工作日/节假日空调系统运行时间表(1:开,0:关)</w:t>
      </w:r>
      <w:bookmarkEnd w:id="174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5" w:name="_Toc31096"/>
      <w:r>
        <w:t>工作日/节假日新风运行时间表(%)</w:t>
      </w:r>
      <w:bookmarkEnd w:id="175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ZjExNWNiZGE4MzU3NTczZTU4ZDZiNDdhMjUzYzEifQ=="/>
  </w:docVars>
  <w:rsids>
    <w:rsidRoot w:val="39011876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3901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797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24</Pages>
  <Words>8290</Words>
  <Characters>13021</Characters>
  <Lines>48</Lines>
  <Paragraphs>13</Paragraphs>
  <TotalTime>3</TotalTime>
  <ScaleCrop>false</ScaleCrop>
  <LinksUpToDate>false</LinksUpToDate>
  <CharactersWithSpaces>13330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2024-04-03T03:05:00Z</dcterms:created>
  <dc:creator>fengshun</dc:creator>
  <cp:lastModifiedBy>fengshun</cp:lastModifiedBy>
  <dcterms:modified xsi:type="dcterms:W3CDTF">2024-04-03T03:09:01Z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20B94AFB54244011B4BE77FAF9EA3A9B_11</vt:lpwstr>
  </property>
  <property fmtid="{D5CDD505-2E9C-101B-9397-08002B2CF9AE}" pid="3" name="KSOProductBuildVer">
    <vt:lpwstr>2052-12.1.0.16364</vt:lpwstr>
  </property>
</Properties>
</file>