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bookmarkStart w:id="64" w:name="_GoBack"/>
      <w:bookmarkEnd w:id="64"/>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1#楼</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r>
              <w:rPr>
                <w:rFonts w:hint="eastAsia"/>
              </w:rPr>
              <w:t>JDSJ-23-12</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r>
              <w:rPr>
                <w:rFonts w:hint="eastAsia"/>
              </w:rPr>
              <w:t>魏县新发地房地产开发有限公司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r>
              <w:rPr>
                <w:rFonts w:hint="eastAsia"/>
              </w:rPr>
              <w:t>河北金地工程勘察设计有限责任公司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2024年4月9日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20240315(SP1)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T18332553759</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_Toc4190 </w:instrText>
      </w:r>
      <w:r>
        <w:rPr>
          <w:rFonts w:ascii="宋体" w:hAnsi="宋体"/>
          <w:caps/>
        </w:rPr>
        <w:fldChar w:fldCharType="separate"/>
      </w:r>
      <w:r>
        <w:t xml:space="preserve">1 </w:t>
      </w:r>
      <w:r>
        <w:rPr>
          <w:rFonts w:hint="eastAsia"/>
        </w:rPr>
        <w:t>建筑概况</w:t>
      </w:r>
      <w:r>
        <w:tab/>
      </w:r>
      <w:r>
        <w:fldChar w:fldCharType="begin"/>
      </w:r>
      <w:r>
        <w:instrText xml:space="preserve"> PAGEREF _Toc4190 \h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_Toc26270 </w:instrText>
      </w:r>
      <w:r>
        <w:fldChar w:fldCharType="separate"/>
      </w:r>
      <w:r>
        <w:t xml:space="preserve">2 </w:t>
      </w:r>
      <w:r>
        <w:rPr>
          <w:rFonts w:hint="eastAsia"/>
        </w:rPr>
        <w:t>评价依据</w:t>
      </w:r>
      <w:r>
        <w:tab/>
      </w:r>
      <w:r>
        <w:fldChar w:fldCharType="begin"/>
      </w:r>
      <w:r>
        <w:instrText xml:space="preserve"> PAGEREF _Toc26270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_Toc19639 </w:instrText>
      </w:r>
      <w:r>
        <w:fldChar w:fldCharType="separate"/>
      </w:r>
      <w:r>
        <w:t xml:space="preserve">3 </w:t>
      </w:r>
      <w:r>
        <w:rPr>
          <w:rFonts w:hint="eastAsia"/>
        </w:rPr>
        <w:t>标准</w:t>
      </w:r>
      <w:r>
        <w:t>要求</w:t>
      </w:r>
      <w:r>
        <w:tab/>
      </w:r>
      <w:r>
        <w:fldChar w:fldCharType="begin"/>
      </w:r>
      <w:r>
        <w:instrText xml:space="preserve"> PAGEREF _Toc19639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_Toc26444 </w:instrText>
      </w:r>
      <w:r>
        <w:fldChar w:fldCharType="separate"/>
      </w:r>
      <w:r>
        <w:rPr>
          <w:kern w:val="2"/>
        </w:rPr>
        <w:t xml:space="preserve">4 </w:t>
      </w:r>
      <w:r>
        <w:rPr>
          <w:rFonts w:hint="eastAsia"/>
          <w:kern w:val="2"/>
        </w:rPr>
        <w:t>隔声理论概述</w:t>
      </w:r>
      <w:r>
        <w:tab/>
      </w:r>
      <w:r>
        <w:fldChar w:fldCharType="begin"/>
      </w:r>
      <w:r>
        <w:instrText xml:space="preserve"> PAGEREF _Toc26444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_Toc23200 </w:instrText>
      </w:r>
      <w:r>
        <w:fldChar w:fldCharType="separate"/>
      </w:r>
      <w:r>
        <w:t xml:space="preserve">4.1 </w:t>
      </w:r>
      <w:r>
        <w:rPr>
          <w:rFonts w:hint="eastAsia"/>
        </w:rPr>
        <w:t>原理概要</w:t>
      </w:r>
      <w:r>
        <w:tab/>
      </w:r>
      <w:r>
        <w:fldChar w:fldCharType="begin"/>
      </w:r>
      <w:r>
        <w:instrText xml:space="preserve"> PAGEREF _Toc23200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_Toc31320 </w:instrText>
      </w:r>
      <w:r>
        <w:fldChar w:fldCharType="separate"/>
      </w:r>
      <w:r>
        <w:t xml:space="preserve">4.2 </w:t>
      </w:r>
      <w:r>
        <w:rPr>
          <w:rFonts w:hint="eastAsia"/>
        </w:rPr>
        <w:t>质量定律</w:t>
      </w:r>
      <w:r>
        <w:tab/>
      </w:r>
      <w:r>
        <w:fldChar w:fldCharType="begin"/>
      </w:r>
      <w:r>
        <w:instrText xml:space="preserve"> PAGEREF _Toc31320 \h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_Toc9539 </w:instrText>
      </w:r>
      <w:r>
        <w:fldChar w:fldCharType="separate"/>
      </w:r>
      <w:r>
        <w:t>4.3 隔声</w:t>
      </w:r>
      <w:r>
        <w:rPr>
          <w:rFonts w:hint="eastAsia"/>
        </w:rPr>
        <w:t>量计算经验</w:t>
      </w:r>
      <w:r>
        <w:t>公式</w:t>
      </w:r>
      <w:r>
        <w:tab/>
      </w:r>
      <w:r>
        <w:fldChar w:fldCharType="begin"/>
      </w:r>
      <w:r>
        <w:instrText xml:space="preserve"> PAGEREF _Toc9539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_Toc24759 </w:instrText>
      </w:r>
      <w:r>
        <w:fldChar w:fldCharType="separate"/>
      </w:r>
      <w:r>
        <w:t xml:space="preserve">4.4 </w:t>
      </w:r>
      <w:r>
        <w:rPr>
          <w:rFonts w:hint="eastAsia"/>
        </w:rPr>
        <w:t>单值评价量</w:t>
      </w:r>
      <w:r>
        <w:tab/>
      </w:r>
      <w:r>
        <w:fldChar w:fldCharType="begin"/>
      </w:r>
      <w:r>
        <w:instrText xml:space="preserve"> PAGEREF _Toc24759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_Toc10862 </w:instrText>
      </w:r>
      <w:r>
        <w:fldChar w:fldCharType="separate"/>
      </w:r>
      <w:r>
        <w:t xml:space="preserve">4.5 </w:t>
      </w:r>
      <w:r>
        <w:rPr>
          <w:rFonts w:hint="eastAsia"/>
        </w:rPr>
        <w:t>频谱修正量</w:t>
      </w:r>
      <w:r>
        <w:tab/>
      </w:r>
      <w:r>
        <w:fldChar w:fldCharType="begin"/>
      </w:r>
      <w:r>
        <w:instrText xml:space="preserve"> PAGEREF _Toc10862 \h </w:instrText>
      </w:r>
      <w:r>
        <w:fldChar w:fldCharType="separate"/>
      </w:r>
      <w:r>
        <w:t>6</w:t>
      </w:r>
      <w:r>
        <w:fldChar w:fldCharType="end"/>
      </w:r>
      <w:r>
        <w:fldChar w:fldCharType="end"/>
      </w:r>
    </w:p>
    <w:p>
      <w:pPr>
        <w:pStyle w:val="18"/>
        <w:tabs>
          <w:tab w:val="right" w:leader="dot" w:pos="9070"/>
          <w:tab w:val="clear" w:pos="180"/>
          <w:tab w:val="clear" w:pos="9360"/>
        </w:tabs>
      </w:pPr>
      <w:r>
        <w:fldChar w:fldCharType="begin"/>
      </w:r>
      <w:r>
        <w:instrText xml:space="preserve"> HYPERLINK \l _Toc1794 </w:instrText>
      </w:r>
      <w:r>
        <w:fldChar w:fldCharType="separate"/>
      </w:r>
      <w:r>
        <w:t xml:space="preserve">5 </w:t>
      </w:r>
      <w:r>
        <w:rPr>
          <w:rFonts w:hint="eastAsia"/>
        </w:rPr>
        <w:t>构件空气声隔声性能</w:t>
      </w:r>
      <w:r>
        <w:tab/>
      </w:r>
      <w:r>
        <w:fldChar w:fldCharType="begin"/>
      </w:r>
      <w:r>
        <w:instrText xml:space="preserve"> PAGEREF _Toc1794 \h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_Toc31310 </w:instrText>
      </w:r>
      <w:r>
        <w:fldChar w:fldCharType="separate"/>
      </w:r>
      <w:r>
        <w:t xml:space="preserve">5.1 </w:t>
      </w:r>
      <w:r>
        <w:rPr>
          <w:rFonts w:hint="eastAsia"/>
        </w:rPr>
        <w:t>墙板的空气声隔声量</w:t>
      </w:r>
      <w:r>
        <w:tab/>
      </w:r>
      <w:r>
        <w:fldChar w:fldCharType="begin"/>
      </w:r>
      <w:r>
        <w:instrText xml:space="preserve"> PAGEREF _Toc31310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_Toc8895 </w:instrText>
      </w:r>
      <w:r>
        <w:fldChar w:fldCharType="separate"/>
      </w:r>
      <w:r>
        <w:t xml:space="preserve">5.1.1 </w:t>
      </w:r>
      <w:r>
        <w:rPr>
          <w:rFonts w:hint="eastAsia"/>
        </w:rPr>
        <w:t>墙板构造做法</w:t>
      </w:r>
      <w:r>
        <w:tab/>
      </w:r>
      <w:r>
        <w:fldChar w:fldCharType="begin"/>
      </w:r>
      <w:r>
        <w:instrText xml:space="preserve"> PAGEREF _Toc8895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_Toc2586 </w:instrText>
      </w:r>
      <w:r>
        <w:fldChar w:fldCharType="separate"/>
      </w:r>
      <w:r>
        <w:t xml:space="preserve">5.1.2 </w:t>
      </w:r>
      <w:r>
        <w:rPr>
          <w:rFonts w:hint="eastAsia"/>
        </w:rPr>
        <w:t>墙板空气声隔声性能</w:t>
      </w:r>
      <w:r>
        <w:tab/>
      </w:r>
      <w:r>
        <w:fldChar w:fldCharType="begin"/>
      </w:r>
      <w:r>
        <w:instrText xml:space="preserve"> PAGEREF _Toc2586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_Toc15090 </w:instrText>
      </w:r>
      <w:r>
        <w:fldChar w:fldCharType="separate"/>
      </w:r>
      <w:r>
        <w:t xml:space="preserve">5.2 </w:t>
      </w:r>
      <w:r>
        <w:rPr>
          <w:rFonts w:hint="eastAsia"/>
        </w:rPr>
        <w:t>门窗的空气声隔声量</w:t>
      </w:r>
      <w:r>
        <w:tab/>
      </w:r>
      <w:r>
        <w:fldChar w:fldCharType="begin"/>
      </w:r>
      <w:r>
        <w:instrText xml:space="preserve"> PAGEREF _Toc15090 \h </w:instrText>
      </w:r>
      <w:r>
        <w:fldChar w:fldCharType="separate"/>
      </w:r>
      <w:r>
        <w:t>9</w:t>
      </w:r>
      <w:r>
        <w:fldChar w:fldCharType="end"/>
      </w:r>
      <w:r>
        <w:fldChar w:fldCharType="end"/>
      </w:r>
    </w:p>
    <w:p>
      <w:pPr>
        <w:pStyle w:val="18"/>
        <w:tabs>
          <w:tab w:val="right" w:leader="dot" w:pos="9070"/>
          <w:tab w:val="clear" w:pos="180"/>
          <w:tab w:val="clear" w:pos="9360"/>
        </w:tabs>
      </w:pPr>
      <w:r>
        <w:fldChar w:fldCharType="begin"/>
      </w:r>
      <w:r>
        <w:instrText xml:space="preserve"> HYPERLINK \l _Toc6372 </w:instrText>
      </w:r>
      <w:r>
        <w:fldChar w:fldCharType="separate"/>
      </w:r>
      <w:r>
        <w:t xml:space="preserve">6 </w:t>
      </w:r>
      <w:r>
        <w:rPr>
          <w:rFonts w:hint="eastAsia"/>
        </w:rPr>
        <w:t>楼板撞击声隔声性能</w:t>
      </w:r>
      <w:r>
        <w:tab/>
      </w:r>
      <w:r>
        <w:fldChar w:fldCharType="begin"/>
      </w:r>
      <w:r>
        <w:instrText xml:space="preserve"> PAGEREF _Toc6372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_Toc32273 </w:instrText>
      </w:r>
      <w:r>
        <w:fldChar w:fldCharType="separate"/>
      </w:r>
      <w:r>
        <w:rPr>
          <w:kern w:val="2"/>
        </w:rPr>
        <w:t xml:space="preserve">7 </w:t>
      </w:r>
      <w:r>
        <w:rPr>
          <w:rFonts w:hint="eastAsia"/>
          <w:kern w:val="2"/>
        </w:rPr>
        <w:t>结论</w:t>
      </w:r>
      <w:r>
        <w:tab/>
      </w:r>
      <w:r>
        <w:fldChar w:fldCharType="begin"/>
      </w:r>
      <w:r>
        <w:instrText xml:space="preserve"> PAGEREF _Toc32273 \h </w:instrText>
      </w:r>
      <w:r>
        <w:fldChar w:fldCharType="separate"/>
      </w:r>
      <w:r>
        <w:t>11</w:t>
      </w:r>
      <w:r>
        <w:fldChar w:fldCharType="end"/>
      </w:r>
      <w:r>
        <w:fldChar w:fldCharType="end"/>
      </w:r>
    </w:p>
    <w:p>
      <w:pPr>
        <w:pStyle w:val="18"/>
        <w:sectPr>
          <w:footerReference r:id="rId3"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4190"/>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工程名称</w:t>
            </w:r>
          </w:p>
        </w:tc>
        <w:tc>
          <w:tcPr>
            <w:tcW w:w="6056" w:type="dxa"/>
          </w:tcPr>
          <w:p>
            <w:pPr>
              <w:pStyle w:val="3"/>
              <w:rPr>
                <w:lang w:val="en-US"/>
              </w:rPr>
            </w:pPr>
            <w:bookmarkStart w:id="12" w:name="工程名称"/>
            <w:r>
              <w:t>1#楼</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 xml:space="preserve">建筑面积 </w:t>
            </w:r>
            <w:r>
              <w:rPr>
                <w:lang w:val="en-US"/>
              </w:rPr>
              <w:t>(m</w:t>
            </w:r>
            <w:r>
              <w:rPr>
                <w:sz w:val="24"/>
                <w:vertAlign w:val="superscript"/>
                <w:lang w:val="en-US"/>
              </w:rPr>
              <w:t>2</w:t>
            </w:r>
            <w:r>
              <w:rPr>
                <w:lang w:val="en-US"/>
              </w:rPr>
              <w:t>)</w:t>
            </w:r>
          </w:p>
        </w:tc>
        <w:tc>
          <w:tcPr>
            <w:tcW w:w="6056" w:type="dxa"/>
          </w:tcPr>
          <w:p>
            <w:pPr>
              <w:pStyle w:val="3"/>
              <w:rPr>
                <w:lang w:val="en-US"/>
              </w:rPr>
            </w:pPr>
            <w:r>
              <w:rPr>
                <w:rFonts w:hint="eastAsia"/>
                <w:lang w:val="en-US"/>
              </w:rPr>
              <w:t>地上</w:t>
            </w:r>
            <w:bookmarkStart w:id="13" w:name="地上建筑面积"/>
            <w:r>
              <w:rPr>
                <w:rFonts w:hint="eastAsia"/>
                <w:lang w:val="en-US"/>
              </w:rPr>
              <w:t>5174</w:t>
            </w:r>
            <w:bookmarkEnd w:id="13"/>
            <w:r>
              <w:rPr>
                <w:rFonts w:hint="eastAsia"/>
                <w:lang w:val="en-US"/>
              </w:rPr>
              <w:t xml:space="preserve">    地下</w:t>
            </w:r>
            <w:bookmarkStart w:id="14" w:name="地下建筑面积"/>
            <w:r>
              <w:rPr>
                <w:rFonts w:hint="eastAsia"/>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建筑层数</w:t>
            </w:r>
          </w:p>
        </w:tc>
        <w:tc>
          <w:tcPr>
            <w:tcW w:w="6056" w:type="dxa"/>
          </w:tcPr>
          <w:p>
            <w:pPr>
              <w:pStyle w:val="3"/>
              <w:rPr>
                <w:lang w:val="en-US"/>
              </w:rPr>
            </w:pPr>
            <w:r>
              <w:rPr>
                <w:rFonts w:hint="eastAsia"/>
                <w:lang w:val="en-US"/>
              </w:rPr>
              <w:t>地上</w:t>
            </w:r>
            <w:bookmarkStart w:id="15" w:name="地上建筑层数"/>
            <w:r>
              <w:rPr>
                <w:rFonts w:hint="eastAsia"/>
                <w:lang w:val="en-US"/>
              </w:rPr>
              <w:t>3</w:t>
            </w:r>
            <w:bookmarkEnd w:id="15"/>
            <w:r>
              <w:rPr>
                <w:rFonts w:hint="eastAsia"/>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056" w:type="dxa"/>
          </w:tcPr>
          <w:p>
            <w:pPr>
              <w:pStyle w:val="3"/>
              <w:rPr>
                <w:lang w:val="en-US"/>
              </w:rPr>
            </w:pPr>
            <w:r>
              <w:rPr>
                <w:rFonts w:hint="eastAsia"/>
                <w:lang w:val="en-US"/>
              </w:rPr>
              <w:t>地上</w:t>
            </w:r>
            <w:bookmarkStart w:id="17" w:name="地上建筑高度"/>
            <w:r>
              <w:rPr>
                <w:rFonts w:hint="eastAsia"/>
                <w:lang w:val="en-US"/>
              </w:rPr>
              <w:t>16.2</w:t>
            </w:r>
            <w:bookmarkEnd w:id="17"/>
            <w:r>
              <w:rPr>
                <w:rFonts w:hint="eastAsia"/>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rPr>
                <w:rFonts w:ascii="宋体" w:hAnsi="宋体"/>
                <w:lang w:val="en-US"/>
              </w:rPr>
            </w:pPr>
            <w:r>
              <w:rPr>
                <w:rFonts w:hint="eastAsia" w:ascii="宋体" w:hAnsi="宋体"/>
                <w:lang w:val="en-US"/>
              </w:rPr>
              <w:t>北向角度（°）</w:t>
            </w:r>
          </w:p>
        </w:tc>
        <w:tc>
          <w:tcPr>
            <w:tcW w:w="6056" w:type="dxa"/>
          </w:tcPr>
          <w:p>
            <w:pPr>
              <w:pStyle w:val="3"/>
              <w:rPr>
                <w:lang w:val="en-US"/>
              </w:rPr>
            </w:pPr>
            <w:bookmarkStart w:id="18" w:name="北向角度"/>
            <w:r>
              <w:t>90</w:t>
            </w:r>
            <w:bookmarkEnd w:id="18"/>
          </w:p>
        </w:tc>
      </w:tr>
    </w:tbl>
    <w:p>
      <w:pPr>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bookmarkStart w:id="21" w:name="_Toc26270"/>
      <w:r>
        <w:rPr>
          <w:rFonts w:hint="eastAsia"/>
        </w:rPr>
        <w:t>评价依据</w:t>
      </w:r>
      <w:bookmarkEnd w:id="21"/>
    </w:p>
    <w:p>
      <w:pPr>
        <w:pStyle w:val="3"/>
        <w:numPr>
          <w:ilvl w:val="0"/>
          <w:numId w:val="2"/>
        </w:numPr>
        <w:rPr>
          <w:lang w:val="en-US"/>
        </w:rPr>
      </w:pPr>
      <w:bookmarkStart w:id="22" w:name="标准名称1"/>
      <w:r>
        <w:t>河北省《绿色建筑评价标准》DB13(J)/T  8427-2021</w:t>
      </w:r>
      <w:bookmarkEnd w:id="22"/>
    </w:p>
    <w:p>
      <w:pPr>
        <w:pStyle w:val="3"/>
        <w:numPr>
          <w:ilvl w:val="0"/>
          <w:numId w:val="2"/>
        </w:numPr>
        <w:rPr>
          <w:lang w:val="en-US"/>
        </w:rPr>
      </w:pPr>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bookmarkStart w:id="23" w:name="_Toc19639"/>
      <w:r>
        <w:rPr>
          <w:rFonts w:hint="eastAsia"/>
        </w:rPr>
        <w:t>标准</w:t>
      </w:r>
      <w:r>
        <w:t>要求</w:t>
      </w:r>
      <w:bookmarkEnd w:id="23"/>
    </w:p>
    <w:p>
      <w:pPr>
        <w:pStyle w:val="3"/>
        <w:ind w:firstLine="420" w:firstLineChars="200"/>
      </w:pPr>
      <w:bookmarkStart w:id="24" w:name="标准名称3"/>
      <w:r>
        <w:rPr>
          <w:rFonts w:hint="eastAsia"/>
        </w:rPr>
        <w:t>河北省《绿色建筑评价标准》DB13(J)/T  8427-2021</w:t>
      </w:r>
      <w:bookmarkEnd w:id="24"/>
      <w:r>
        <w:rPr>
          <w:rFonts w:hint="eastAsia"/>
        </w:rPr>
        <w:t>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left="360"/>
      </w:pPr>
      <w:bookmarkStart w:id="25" w:name="室内构件隔声条文内容1"/>
      <w:bookmarkEnd w:id="25"/>
      <w:r>
        <w:t>5.2.7 主要功能房间的隔声性能良好，评价总分值为10分，按下列规则分别评分并累计：</w:t>
      </w:r>
    </w:p>
    <w:p>
      <w:pPr>
        <w:pStyle w:val="3"/>
        <w:ind w:left="360"/>
      </w:pPr>
      <w:r>
        <w:t xml:space="preserve">  1 构件及相邻房间之间的空气声隔声性能达到现行国家标准《民用建筑隔声设计规范》GB 50118中的低限标准限值和高要求标准限值的平均值，且高于低限标准限值 3dB，得3分；达到高要求标准限值，得5分；</w:t>
      </w:r>
    </w:p>
    <w:p>
      <w:pPr>
        <w:pStyle w:val="3"/>
        <w:ind w:left="360"/>
      </w:pPr>
      <w:r>
        <w:t xml:space="preserve">  2 增加楼板厚度或采用浮筑楼板、弹性面层、隔声吊顶、阻尼板等措施加强楼板撞击声隔声性能，楼板的撞击声隔声性达到现行国家标准《民用建筑隔声设计规范》GB 50118中的低限标准限值和高要求标准限值的平均值，且低于低限标准限值3dB，得3分；达到高要求标准限值，得5分。</w:t>
      </w:r>
    </w:p>
    <w:p>
      <w:pPr>
        <w:pStyle w:val="2"/>
        <w:ind w:left="669" w:hanging="669"/>
        <w:rPr>
          <w:kern w:val="2"/>
        </w:rPr>
      </w:pPr>
      <w:bookmarkStart w:id="26" w:name="_Toc26444"/>
      <w:bookmarkStart w:id="27" w:name="_Toc438716944"/>
      <w:r>
        <w:rPr>
          <w:rFonts w:hint="eastAsia"/>
          <w:kern w:val="2"/>
        </w:rPr>
        <w:t>隔声理论概述</w:t>
      </w:r>
      <w:bookmarkEnd w:id="26"/>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8" w:name="_Toc23200"/>
      <w:r>
        <w:rPr>
          <w:rFonts w:hint="eastAsia"/>
        </w:rPr>
        <w:t>原理概要</w:t>
      </w:r>
      <w:bookmarkEnd w:id="28"/>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9"/>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9" w:name="_Toc503275877"/>
      <w:bookmarkStart w:id="30" w:name="_Toc503800603"/>
      <w:bookmarkStart w:id="31" w:name="_Toc503800668"/>
      <w:bookmarkStart w:id="32" w:name="_Toc31320"/>
      <w:r>
        <w:rPr>
          <w:rFonts w:hint="eastAsia"/>
        </w:rPr>
        <w:t>质量定律</w:t>
      </w:r>
      <w:bookmarkEnd w:id="29"/>
      <w:bookmarkEnd w:id="30"/>
      <w:bookmarkEnd w:id="31"/>
      <w:bookmarkEnd w:id="32"/>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spacing w:before="240"/>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p>
    <w:p>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3" w:name="_Toc9539"/>
      <w:r>
        <w:t>隔声</w:t>
      </w:r>
      <w:r>
        <w:rPr>
          <w:rFonts w:hint="eastAsia"/>
        </w:rPr>
        <w:t>量计算经验</w:t>
      </w:r>
      <w:r>
        <w:t>公式</w:t>
      </w:r>
      <w:bookmarkEnd w:id="33"/>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pPr>
        <w:pStyle w:val="3"/>
        <w:spacing w:before="240"/>
        <w:ind w:firstLine="420" w:firstLineChars="200"/>
        <w:jc w:val="center"/>
      </w:pPr>
      <w:r>
        <w:rPr>
          <w:lang w:val="en-US"/>
        </w:rPr>
        <w:drawing>
          <wp:inline distT="0" distB="0" distL="0" distR="0">
            <wp:extent cx="3714750" cy="312737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16333" cy="3128900"/>
                    </a:xfrm>
                    <a:prstGeom prst="rect">
                      <a:avLst/>
                    </a:prstGeom>
                    <a:noFill/>
                    <a:ln>
                      <a:noFill/>
                    </a:ln>
                  </pic:spPr>
                </pic:pic>
              </a:graphicData>
            </a:graphic>
          </wp:inline>
        </w:drawing>
      </w:r>
    </w:p>
    <w:p>
      <w:pPr>
        <w:jc w:val="center"/>
        <w:rPr>
          <w:lang w:val="en-US"/>
        </w:rPr>
      </w:pPr>
      <w:r>
        <w:rPr>
          <w:rFonts w:hint="eastAsia"/>
          <w:lang w:val="en-US"/>
        </w:rPr>
        <w:t>图4-5构件500Hz隔声曲线</w:t>
      </w:r>
    </w:p>
    <w:p>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4" w:name="_Toc24759"/>
      <w:r>
        <w:rPr>
          <w:rFonts w:hint="eastAsia"/>
        </w:rPr>
        <w:t>单值评价量</w:t>
      </w:r>
      <w:bookmarkEnd w:id="34"/>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420"/>
      </w:pPr>
      <w:r>
        <w:rPr>
          <w:rFonts w:hint="eastAsia"/>
        </w:rPr>
        <w:t>计权隔声量是表征构件空气声隔声性能的单值评价量，满足不利偏差Pi要求的最大值即为空</w:t>
      </w:r>
      <w:r>
        <w:rPr>
          <w:rFonts w:hint="eastAsia"/>
          <w:kern w:val="2"/>
          <w:lang w:val="en-US"/>
        </w:rPr>
        <w:t>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6" o:spt="75" type="#_x0000_t75" style="height:16.5pt;width:11.2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7" o:spt="75" type="#_x0000_t75" style="height:15pt;width:11.2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pPr>
        <w:pStyle w:val="3"/>
        <w:jc w:val="center"/>
      </w:pPr>
    </w:p>
    <w:p>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9">
            <o:LockedField>false</o:LockedField>
          </o:OLEObject>
        </w:object>
      </w:r>
      <w:r>
        <w:rPr>
          <w:rFonts w:hint="eastAsia"/>
          <w:sz w:val="20"/>
        </w:rPr>
        <w:t>—</w:t>
      </w:r>
      <w:r>
        <w:rPr>
          <w:rFonts w:hint="eastAsia"/>
          <w:kern w:val="2"/>
          <w:sz w:val="20"/>
          <w:lang w:val="en-US"/>
        </w:rPr>
        <w:t>撞击声隔声计权单值评价量；</w:t>
      </w:r>
    </w:p>
    <w:p>
      <w:pPr>
        <w:pStyle w:val="3"/>
        <w:ind w:left="840"/>
        <w:rPr>
          <w:kern w:val="2"/>
          <w:sz w:val="20"/>
          <w:lang w:val="en-US"/>
        </w:rPr>
      </w:pPr>
      <w:r>
        <w:rPr>
          <w:position w:val="-12"/>
          <w:sz w:val="20"/>
        </w:rPr>
        <w:object>
          <v:shape id="_x0000_i1029" o:spt="75" type="#_x0000_t75" style="height:16.5pt;width:11.2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20">
            <o:LockedField>false</o:LockedField>
          </o:OLEObject>
        </w:object>
      </w:r>
      <w:r>
        <w:rPr>
          <w:rFonts w:hint="eastAsia"/>
          <w:sz w:val="20"/>
        </w:rPr>
        <w:t xml:space="preserve">— </w:t>
      </w:r>
      <w:r>
        <w:rPr>
          <w:rFonts w:hint="eastAsia"/>
          <w:kern w:val="2"/>
          <w:sz w:val="20"/>
          <w:lang w:val="en-US"/>
        </w:rPr>
        <w:t>第i个频带的撞击声压级，精确到0.1dB。</w:t>
      </w:r>
    </w:p>
    <w:p>
      <w:pPr>
        <w:spacing w:before="240"/>
        <w:ind w:right="18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pPr>
              <w:spacing w:line="360" w:lineRule="exact"/>
              <w:jc w:val="center"/>
              <w:rPr>
                <w:sz w:val="21"/>
                <w:szCs w:val="21"/>
              </w:rPr>
            </w:pPr>
            <w:r>
              <w:rPr>
                <w:rFonts w:hint="eastAsia"/>
                <w:sz w:val="21"/>
                <w:szCs w:val="21"/>
              </w:rPr>
              <w:t>2000</w:t>
            </w:r>
            <w:r>
              <w:rPr>
                <w:sz w:val="21"/>
                <w:szCs w:val="21"/>
              </w:rP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sz w:val="21"/>
                <w:szCs w:val="21"/>
              </w:rPr>
            </w:pPr>
            <w:r>
              <w:rPr>
                <w:rFonts w:hint="eastAsia"/>
                <w:sz w:val="21"/>
                <w:szCs w:val="21"/>
              </w:rPr>
              <w:t>空气声基准值</w:t>
            </w:r>
          </w:p>
        </w:tc>
        <w:tc>
          <w:tcPr>
            <w:tcW w:w="1416" w:type="dxa"/>
            <w:vAlign w:val="center"/>
          </w:tcPr>
          <w:p>
            <w:pPr>
              <w:spacing w:line="360" w:lineRule="exact"/>
              <w:jc w:val="center"/>
              <w:rPr>
                <w:sz w:val="21"/>
                <w:szCs w:val="21"/>
              </w:rPr>
            </w:pPr>
            <w:r>
              <w:rPr>
                <w:rFonts w:hint="eastAsia"/>
                <w:sz w:val="21"/>
                <w:szCs w:val="21"/>
              </w:rPr>
              <w:t>-16</w:t>
            </w:r>
          </w:p>
        </w:tc>
        <w:tc>
          <w:tcPr>
            <w:tcW w:w="1416" w:type="dxa"/>
            <w:vAlign w:val="center"/>
          </w:tcPr>
          <w:p>
            <w:pPr>
              <w:spacing w:line="360" w:lineRule="exact"/>
              <w:jc w:val="center"/>
              <w:rPr>
                <w:sz w:val="21"/>
                <w:szCs w:val="21"/>
              </w:rPr>
            </w:pPr>
            <w:r>
              <w:rPr>
                <w:rFonts w:hint="eastAsia"/>
                <w:sz w:val="21"/>
                <w:szCs w:val="21"/>
              </w:rPr>
              <w:t>-7</w:t>
            </w:r>
          </w:p>
        </w:tc>
        <w:tc>
          <w:tcPr>
            <w:tcW w:w="1416" w:type="dxa"/>
            <w:vAlign w:val="center"/>
          </w:tcPr>
          <w:p>
            <w:pPr>
              <w:spacing w:line="360" w:lineRule="exact"/>
              <w:jc w:val="center"/>
              <w:rPr>
                <w:sz w:val="21"/>
                <w:szCs w:val="21"/>
              </w:rPr>
            </w:pPr>
            <w:r>
              <w:rPr>
                <w:rFonts w:hint="eastAsia"/>
                <w:sz w:val="21"/>
                <w:szCs w:val="21"/>
              </w:rPr>
              <w:t>0</w:t>
            </w:r>
          </w:p>
        </w:tc>
        <w:tc>
          <w:tcPr>
            <w:tcW w:w="1416" w:type="dxa"/>
            <w:vAlign w:val="center"/>
          </w:tcPr>
          <w:p>
            <w:pPr>
              <w:spacing w:line="360" w:lineRule="exact"/>
              <w:jc w:val="center"/>
              <w:rPr>
                <w:sz w:val="21"/>
                <w:szCs w:val="21"/>
              </w:rPr>
            </w:pPr>
            <w:r>
              <w:rPr>
                <w:rFonts w:hint="eastAsia"/>
                <w:sz w:val="21"/>
                <w:szCs w:val="21"/>
              </w:rPr>
              <w:t>3</w:t>
            </w:r>
          </w:p>
        </w:tc>
        <w:tc>
          <w:tcPr>
            <w:tcW w:w="1418" w:type="dxa"/>
            <w:vAlign w:val="center"/>
          </w:tcPr>
          <w:p>
            <w:pPr>
              <w:spacing w:line="360" w:lineRule="exact"/>
              <w:jc w:val="center"/>
              <w:rPr>
                <w:sz w:val="21"/>
                <w:szCs w:val="21"/>
              </w:rPr>
            </w:pPr>
            <w:r>
              <w:rPr>
                <w:rFonts w:hint="eastAsia"/>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sz w:val="21"/>
                <w:szCs w:val="21"/>
              </w:rPr>
            </w:pPr>
            <w:r>
              <w:rPr>
                <w:rFonts w:hint="eastAsia"/>
                <w:sz w:val="21"/>
                <w:szCs w:val="21"/>
              </w:rPr>
              <w:t>撞击声基准值</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0</w:t>
            </w:r>
          </w:p>
        </w:tc>
        <w:tc>
          <w:tcPr>
            <w:tcW w:w="1416" w:type="dxa"/>
            <w:vAlign w:val="center"/>
          </w:tcPr>
          <w:p>
            <w:pPr>
              <w:spacing w:line="360" w:lineRule="exact"/>
              <w:jc w:val="center"/>
              <w:rPr>
                <w:sz w:val="21"/>
                <w:szCs w:val="21"/>
              </w:rPr>
            </w:pPr>
            <w:r>
              <w:rPr>
                <w:rFonts w:hint="eastAsia"/>
                <w:sz w:val="21"/>
                <w:szCs w:val="21"/>
                <w:lang w:val="en-US"/>
              </w:rPr>
              <w:t>-3</w:t>
            </w:r>
          </w:p>
        </w:tc>
        <w:tc>
          <w:tcPr>
            <w:tcW w:w="1418" w:type="dxa"/>
            <w:vAlign w:val="center"/>
          </w:tcPr>
          <w:p>
            <w:pPr>
              <w:spacing w:line="360" w:lineRule="exact"/>
              <w:jc w:val="center"/>
              <w:rPr>
                <w:sz w:val="21"/>
                <w:szCs w:val="21"/>
              </w:rPr>
            </w:pPr>
            <w:r>
              <w:rPr>
                <w:rFonts w:hint="eastAsia"/>
                <w:sz w:val="21"/>
                <w:szCs w:val="21"/>
                <w:lang w:val="en-US"/>
              </w:rPr>
              <w:t>-16</w:t>
            </w:r>
          </w:p>
        </w:tc>
      </w:tr>
    </w:tbl>
    <w:p>
      <w:pPr>
        <w:pStyle w:val="4"/>
      </w:pPr>
      <w:bookmarkStart w:id="35" w:name="_Toc10862"/>
      <w:r>
        <w:rPr>
          <w:rFonts w:hint="eastAsia"/>
        </w:rPr>
        <w:t>频谱修正量</w:t>
      </w:r>
      <w:bookmarkEnd w:id="35"/>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pPr>
              <w:pStyle w:val="3"/>
              <w:spacing w:line="360" w:lineRule="exact"/>
              <w:jc w:val="center"/>
              <w:rPr>
                <w:lang w:val="en-US"/>
              </w:rPr>
            </w:pPr>
            <w:r>
              <w:rPr>
                <w:color w:val="000000"/>
              </w:rPr>
              <w:t>125 Hz</w:t>
            </w:r>
          </w:p>
        </w:tc>
        <w:tc>
          <w:tcPr>
            <w:tcW w:w="1228" w:type="dxa"/>
            <w:shd w:val="clear" w:color="auto" w:fill="D9D9D9"/>
            <w:vAlign w:val="center"/>
          </w:tcPr>
          <w:p>
            <w:pPr>
              <w:pStyle w:val="3"/>
              <w:spacing w:line="360" w:lineRule="exact"/>
              <w:jc w:val="center"/>
              <w:rPr>
                <w:lang w:val="en-US"/>
              </w:rPr>
            </w:pPr>
            <w:r>
              <w:rPr>
                <w:color w:val="000000"/>
              </w:rPr>
              <w:t>250 Hz</w:t>
            </w:r>
          </w:p>
        </w:tc>
        <w:tc>
          <w:tcPr>
            <w:tcW w:w="1228" w:type="dxa"/>
            <w:shd w:val="clear" w:color="auto" w:fill="D9D9D9"/>
            <w:vAlign w:val="center"/>
          </w:tcPr>
          <w:p>
            <w:pPr>
              <w:pStyle w:val="3"/>
              <w:spacing w:line="360" w:lineRule="exact"/>
              <w:jc w:val="center"/>
              <w:rPr>
                <w:lang w:val="en-US"/>
              </w:rPr>
            </w:pPr>
            <w:r>
              <w:rPr>
                <w:color w:val="000000"/>
              </w:rPr>
              <w:t>500 Hz</w:t>
            </w:r>
          </w:p>
        </w:tc>
        <w:tc>
          <w:tcPr>
            <w:tcW w:w="1228" w:type="dxa"/>
            <w:shd w:val="clear" w:color="auto" w:fill="D9D9D9"/>
            <w:vAlign w:val="center"/>
          </w:tcPr>
          <w:p>
            <w:pPr>
              <w:pStyle w:val="3"/>
              <w:spacing w:line="360" w:lineRule="exact"/>
              <w:jc w:val="center"/>
              <w:rPr>
                <w:lang w:val="en-US"/>
              </w:rPr>
            </w:pPr>
            <w:r>
              <w:rPr>
                <w:color w:val="000000"/>
              </w:rPr>
              <w:t>1000 Hz</w:t>
            </w:r>
          </w:p>
        </w:tc>
        <w:tc>
          <w:tcPr>
            <w:tcW w:w="1228" w:type="dxa"/>
            <w:shd w:val="clear" w:color="auto" w:fill="D9D9D9"/>
            <w:vAlign w:val="center"/>
          </w:tcPr>
          <w:p>
            <w:pPr>
              <w:pStyle w:val="3"/>
              <w:spacing w:line="360" w:lineRule="exact"/>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pPr>
              <w:pStyle w:val="3"/>
              <w:spacing w:line="360" w:lineRule="exact"/>
              <w:jc w:val="center"/>
              <w:rPr>
                <w:color w:val="000000"/>
              </w:rPr>
            </w:pPr>
            <w:r>
              <w:rPr>
                <w:color w:val="000000"/>
              </w:rPr>
              <w:t>-21</w:t>
            </w:r>
          </w:p>
        </w:tc>
        <w:tc>
          <w:tcPr>
            <w:tcW w:w="1228"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-8</w:t>
            </w:r>
          </w:p>
        </w:tc>
        <w:tc>
          <w:tcPr>
            <w:tcW w:w="1228" w:type="dxa"/>
            <w:vAlign w:val="center"/>
          </w:tcPr>
          <w:p>
            <w:pPr>
              <w:pStyle w:val="3"/>
              <w:spacing w:line="360" w:lineRule="exact"/>
              <w:jc w:val="center"/>
              <w:rPr>
                <w:color w:val="000000"/>
              </w:rPr>
            </w:pPr>
            <w:r>
              <w:rPr>
                <w:color w:val="000000"/>
              </w:rPr>
              <w:t>-5</w:t>
            </w:r>
          </w:p>
        </w:tc>
        <w:tc>
          <w:tcPr>
            <w:tcW w:w="1228"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-10</w:t>
            </w:r>
          </w:p>
        </w:tc>
        <w:tc>
          <w:tcPr>
            <w:tcW w:w="1228" w:type="dxa"/>
            <w:vAlign w:val="center"/>
          </w:tcPr>
          <w:p>
            <w:pPr>
              <w:pStyle w:val="3"/>
              <w:spacing w:line="360" w:lineRule="exact"/>
              <w:jc w:val="center"/>
              <w:rPr>
                <w:color w:val="000000"/>
              </w:rPr>
            </w:pPr>
            <w:r>
              <w:rPr>
                <w:color w:val="000000"/>
              </w:rPr>
              <w:t>-7</w:t>
            </w:r>
          </w:p>
        </w:tc>
        <w:tc>
          <w:tcPr>
            <w:tcW w:w="1228" w:type="dxa"/>
            <w:vAlign w:val="center"/>
          </w:tcPr>
          <w:p>
            <w:pPr>
              <w:pStyle w:val="3"/>
              <w:spacing w:line="360" w:lineRule="exact"/>
              <w:jc w:val="center"/>
              <w:rPr>
                <w:color w:val="000000"/>
              </w:rPr>
            </w:pPr>
            <w:r>
              <w:rPr>
                <w:color w:val="000000"/>
              </w:rPr>
              <w:t>-4</w:t>
            </w:r>
          </w:p>
        </w:tc>
        <w:tc>
          <w:tcPr>
            <w:tcW w:w="1228" w:type="dxa"/>
            <w:vAlign w:val="center"/>
          </w:tcPr>
          <w:p>
            <w:pPr>
              <w:pStyle w:val="3"/>
              <w:spacing w:line="360" w:lineRule="exact"/>
              <w:jc w:val="center"/>
              <w:rPr>
                <w:color w:val="000000"/>
              </w:rPr>
            </w:pPr>
            <w:r>
              <w:rPr>
                <w:color w:val="000000"/>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6" w:name="_Toc1794"/>
      <w:r>
        <w:rPr>
          <w:rFonts w:hint="eastAsia"/>
        </w:rPr>
        <w:t>构件空气声隔声性能</w:t>
      </w:r>
      <w:bookmarkEnd w:id="36"/>
    </w:p>
    <w:p>
      <w:pPr>
        <w:pStyle w:val="4"/>
      </w:pPr>
      <w:bookmarkStart w:id="37" w:name="_Toc31310"/>
      <w:r>
        <w:rPr>
          <w:rFonts w:hint="eastAsia"/>
        </w:rPr>
        <w:t>墙板的空气声隔声量</w:t>
      </w:r>
      <w:bookmarkEnd w:id="37"/>
    </w:p>
    <w:p>
      <w:pPr>
        <w:pStyle w:val="5"/>
      </w:pPr>
      <w:bookmarkStart w:id="38" w:name="_Toc8895"/>
      <w:r>
        <w:rPr>
          <w:rFonts w:hint="eastAsia"/>
        </w:rPr>
        <w:t>墙板构造做法</w:t>
      </w:r>
      <w:bookmarkEnd w:id="38"/>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外墙(填充墙)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自保温蒸压加气混凝土砌块</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488</w:t>
            </w:r>
          </w:p>
        </w:tc>
        <w:tc>
          <w:tcPr>
            <w:vAlign w:val="center"/>
          </w:tcPr>
          <w:p>
            <w:pPr>
              <w:jc w:val="center"/>
              <w:rPr>
                <w:sz w:val="21"/>
                <w:szCs w:val="21"/>
              </w:rPr>
            </w:pPr>
            <w:r>
              <w:rPr>
                <w:sz w:val="21"/>
                <w:szCs w:val="21"/>
              </w:rPr>
              <w:t>146</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18</w:t>
            </w:r>
          </w:p>
        </w:tc>
        <w:tc>
          <w:tcPr>
            <w:vMerge w:val="restart"/>
            <w:vAlign w:val="center"/>
          </w:tcPr>
          <w:p>
            <w:pPr>
              <w:jc w:val="center"/>
              <w:rPr>
                <w:sz w:val="21"/>
                <w:szCs w:val="21"/>
              </w:rPr>
            </w:pPr>
            <w:r>
              <w:rPr>
                <w:sz w:val="21"/>
                <w:szCs w:val="21"/>
              </w:rPr>
              <w:t>176</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加气混凝土砌块</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140</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屋顶</w:t>
            </w:r>
          </w:p>
        </w:tc>
        <w:tc>
          <w:tcPr>
            <w:vAlign w:val="center"/>
          </w:tcPr>
          <w:p>
            <w:pPr>
              <w:rPr>
                <w:sz w:val="21"/>
                <w:szCs w:val="21"/>
              </w:rPr>
            </w:pPr>
            <w:r>
              <w:rPr>
                <w:sz w:val="21"/>
                <w:szCs w:val="21"/>
              </w:rPr>
              <w:t>细石混凝土（双向配筋）</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w:t>
            </w:r>
          </w:p>
        </w:tc>
        <w:tc>
          <w:tcPr>
            <w:vMerge w:val="restart"/>
            <w:vAlign w:val="center"/>
          </w:tcPr>
          <w:p>
            <w:pPr>
              <w:jc w:val="center"/>
              <w:rPr>
                <w:sz w:val="21"/>
                <w:szCs w:val="21"/>
              </w:rPr>
            </w:pPr>
            <w:r>
              <w:rPr>
                <w:sz w:val="21"/>
                <w:szCs w:val="21"/>
              </w:rPr>
              <w:t>549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54</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加气混凝土、泡沫混凝土(ρ=700)</w:t>
            </w:r>
          </w:p>
        </w:tc>
        <w:tc>
          <w:tcPr>
            <w:vAlign w:val="center"/>
          </w:tcPr>
          <w:p>
            <w:pPr>
              <w:jc w:val="center"/>
              <w:rPr>
                <w:sz w:val="21"/>
                <w:szCs w:val="21"/>
              </w:rPr>
            </w:pPr>
            <w:r>
              <w:rPr>
                <w:sz w:val="21"/>
                <w:szCs w:val="21"/>
              </w:rPr>
              <w:t>250</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75</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石灰水泥砂浆（混合砂浆）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34</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463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C15豆石混凝土</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92</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石灰水泥砂浆（混合砂浆）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34</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挑空楼板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418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岩棉板</w:t>
            </w:r>
          </w:p>
        </w:tc>
        <w:tc>
          <w:tcPr>
            <w:vAlign w:val="center"/>
          </w:tcPr>
          <w:p>
            <w:pPr>
              <w:jc w:val="center"/>
              <w:rPr>
                <w:sz w:val="21"/>
                <w:szCs w:val="21"/>
              </w:rPr>
            </w:pPr>
            <w:r>
              <w:rPr>
                <w:sz w:val="21"/>
                <w:szCs w:val="21"/>
              </w:rPr>
              <w:t>70</w:t>
            </w:r>
          </w:p>
        </w:tc>
        <w:tc>
          <w:tcPr>
            <w:vAlign w:val="center"/>
          </w:tcPr>
          <w:p>
            <w:pPr>
              <w:jc w:val="center"/>
              <w:rPr>
                <w:sz w:val="21"/>
                <w:szCs w:val="21"/>
              </w:rPr>
            </w:pPr>
            <w:r>
              <w:rPr>
                <w:sz w:val="21"/>
                <w:szCs w:val="21"/>
              </w:rPr>
              <w:t>140</w:t>
            </w:r>
          </w:p>
        </w:tc>
        <w:tc>
          <w:tcPr>
            <w:vAlign w:val="center"/>
          </w:tcPr>
          <w:p>
            <w:pPr>
              <w:jc w:val="center"/>
              <w:rPr>
                <w:sz w:val="21"/>
                <w:szCs w:val="21"/>
              </w:rPr>
            </w:pPr>
            <w:r>
              <w:rPr>
                <w:sz w:val="21"/>
                <w:szCs w:val="21"/>
              </w:rPr>
              <w:t>10</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地面</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536</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150</w:t>
            </w:r>
          </w:p>
        </w:tc>
        <w:tc>
          <w:tcPr>
            <w:vMerge w:val="continue"/>
            <w:vAlign w:val="center"/>
          </w:tcPr>
          <w:p>
            <w:pPr>
              <w:jc w:val="center"/>
              <w:rPr>
                <w:sz w:val="21"/>
                <w:szCs w:val="21"/>
              </w:rPr>
            </w:pP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粉煤灰</w:t>
            </w:r>
          </w:p>
        </w:tc>
        <w:tc>
          <w:tcPr>
            <w:vAlign w:val="center"/>
          </w:tcPr>
          <w:p>
            <w:pPr>
              <w:jc w:val="center"/>
              <w:rPr>
                <w:sz w:val="21"/>
                <w:szCs w:val="21"/>
              </w:rPr>
            </w:pPr>
            <w:r>
              <w:rPr>
                <w:sz w:val="21"/>
                <w:szCs w:val="21"/>
              </w:rPr>
              <w:t>350</w:t>
            </w:r>
          </w:p>
        </w:tc>
        <w:tc>
          <w:tcPr>
            <w:vAlign w:val="center"/>
          </w:tcPr>
          <w:p>
            <w:pPr>
              <w:jc w:val="center"/>
              <w:rPr>
                <w:sz w:val="21"/>
                <w:szCs w:val="21"/>
              </w:rPr>
            </w:pPr>
            <w:r>
              <w:rPr>
                <w:sz w:val="21"/>
                <w:szCs w:val="21"/>
              </w:rPr>
              <w:t>1000</w:t>
            </w:r>
          </w:p>
        </w:tc>
        <w:tc>
          <w:tcPr>
            <w:vAlign w:val="center"/>
          </w:tcPr>
          <w:p>
            <w:pPr>
              <w:jc w:val="center"/>
              <w:rPr>
                <w:sz w:val="21"/>
                <w:szCs w:val="21"/>
              </w:rPr>
            </w:pPr>
            <w:r>
              <w:rPr>
                <w:sz w:val="21"/>
                <w:szCs w:val="21"/>
              </w:rPr>
              <w:t>350</w:t>
            </w:r>
          </w:p>
        </w:tc>
        <w:tc>
          <w:tcPr>
            <w:vMerge w:val="continue"/>
            <w:vAlign w:val="center"/>
          </w:tcPr>
          <w:p>
            <w:pPr>
              <w:jc w:val="center"/>
              <w:rPr>
                <w:sz w:val="21"/>
                <w:szCs w:val="21"/>
              </w:rPr>
            </w:pPr>
          </w:p>
        </w:tc>
      </w:tr>
    </w:tbl>
    <w:p>
      <w:pPr>
        <w:pStyle w:val="13"/>
        <w:ind w:firstLine="420" w:firstLineChars="0"/>
        <w:jc w:val="center"/>
        <w:rPr>
          <w:rFonts w:ascii="宋体" w:hAnsi="宋体" w:eastAsia="宋体"/>
          <w:color w:val="000000"/>
          <w:sz w:val="21"/>
          <w:szCs w:val="21"/>
        </w:rPr>
      </w:pPr>
      <w:bookmarkStart w:id="39" w:name="围护结构材料清单"/>
      <w:bookmarkEnd w:id="39"/>
    </w:p>
    <w:p>
      <w:pPr>
        <w:pStyle w:val="5"/>
      </w:pPr>
      <w:bookmarkStart w:id="40" w:name="_Toc2586"/>
      <w:r>
        <w:rPr>
          <w:rFonts w:hint="eastAsia"/>
        </w:rPr>
        <w:t>墙板空气声隔声性能</w:t>
      </w:r>
      <w:bookmarkEnd w:id="40"/>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spacing w:before="240"/>
        <w:ind w:left="481" w:leftChars="267"/>
        <w:jc w:val="center"/>
        <w:rPr>
          <w:lang w:val="en-US"/>
        </w:rPr>
      </w:pPr>
      <w:r>
        <w:rPr>
          <w:i/>
          <w:lang w:val="en-US"/>
        </w:rPr>
        <w:t xml:space="preserve"> R</w:t>
      </w:r>
      <w:r>
        <w:rPr>
          <w:lang w:val="en-US"/>
        </w:rPr>
        <w:t>=</w:t>
      </w:r>
      <w:bookmarkStart w:id="41" w:name="公式A1"/>
      <w:r>
        <w:t>23</w:t>
      </w:r>
      <w:bookmarkEnd w:id="41"/>
      <w:r>
        <w:rPr>
          <w:rFonts w:hint="eastAsia"/>
          <w:i/>
          <w:lang w:val="en-US"/>
        </w:rPr>
        <w:t>lg</w:t>
      </w:r>
      <w:r>
        <w:rPr>
          <w:lang w:val="en-US"/>
        </w:rPr>
        <w:t xml:space="preserve"> </w:t>
      </w:r>
      <w:r>
        <w:rPr>
          <w:rFonts w:hint="eastAsia"/>
          <w:lang w:val="en-US"/>
        </w:rPr>
        <w:t>m</w:t>
      </w:r>
      <w:r>
        <w:rPr>
          <w:lang w:val="en-US"/>
        </w:rPr>
        <w:t>+</w:t>
      </w:r>
      <w:bookmarkStart w:id="42" w:name="公式B1"/>
      <w:r>
        <w:t>11</w:t>
      </w:r>
      <w:bookmarkEnd w:id="42"/>
      <w:r>
        <w:rPr>
          <w:rFonts w:hint="eastAsia"/>
          <w:i/>
          <w:lang w:val="en-US"/>
        </w:rPr>
        <w:t>lg</w:t>
      </w:r>
      <w:r>
        <w:rPr>
          <w:i/>
          <w:lang w:val="en-US"/>
        </w:rPr>
        <w:t xml:space="preserve"> </w:t>
      </w:r>
      <w:r>
        <w:rPr>
          <w:rFonts w:hint="eastAsia"/>
          <w:lang w:val="en-US"/>
        </w:rPr>
        <w:t>f</w:t>
      </w:r>
      <w:bookmarkStart w:id="43" w:name="公式C1"/>
      <w:r>
        <w:t>-41</w:t>
      </w:r>
      <w:bookmarkEnd w:id="43"/>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 xml:space="preserve"> R</w:t>
      </w:r>
      <w:r>
        <w:rPr>
          <w:lang w:val="en-US"/>
        </w:rPr>
        <w:t>=</w:t>
      </w:r>
      <w:bookmarkStart w:id="44" w:name="公式A2"/>
      <w:r>
        <w:t>13</w:t>
      </w:r>
      <w:bookmarkEnd w:id="44"/>
      <w:r>
        <w:rPr>
          <w:rFonts w:hint="eastAsia"/>
          <w:i/>
          <w:lang w:val="en-US"/>
        </w:rPr>
        <w:t>lg</w:t>
      </w:r>
      <w:r>
        <w:rPr>
          <w:lang w:val="en-US"/>
        </w:rPr>
        <w:t xml:space="preserve"> </w:t>
      </w:r>
      <w:r>
        <w:rPr>
          <w:rFonts w:hint="eastAsia"/>
          <w:lang w:val="en-US"/>
        </w:rPr>
        <w:t>m</w:t>
      </w:r>
      <w:r>
        <w:rPr>
          <w:lang w:val="en-US"/>
        </w:rPr>
        <w:t>+</w:t>
      </w:r>
      <w:bookmarkStart w:id="45" w:name="公式B2"/>
      <w:r>
        <w:t>11</w:t>
      </w:r>
      <w:bookmarkEnd w:id="45"/>
      <w:r>
        <w:rPr>
          <w:rFonts w:hint="eastAsia"/>
          <w:i/>
          <w:lang w:val="en-US"/>
        </w:rPr>
        <w:t>lg</w:t>
      </w:r>
      <w:r>
        <w:rPr>
          <w:i/>
          <w:lang w:val="en-US"/>
        </w:rPr>
        <w:t xml:space="preserve"> </w:t>
      </w:r>
      <w:r>
        <w:rPr>
          <w:rFonts w:hint="eastAsia"/>
          <w:lang w:val="en-US"/>
        </w:rPr>
        <w:t>f</w:t>
      </w:r>
      <w:bookmarkStart w:id="46" w:name="公式C2"/>
      <w:r>
        <w:t>-18</w:t>
      </w:r>
      <w:bookmarkEnd w:id="46"/>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办公室(办公建筑)与普通房间之间隔墙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10mm＋加气混凝土砌块 200mm＋水泥砂浆 10mm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蒸压加气混凝土砌块390x190x190双面抹灰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办公室(办公建筑)外墙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20mm＋自保温蒸压加气混凝土砌块 300mm＋水泥砂浆 10mm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蒸压加气混凝土砌块390x190x190双面抹灰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办公室(办公建筑)与普通房间之间楼板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20mm＋C15豆石混凝土 40mm＋挤塑聚苯板(ρ=25-32) 20mm＋石灰水泥砂浆（混合砂浆） 20mm＋钢筋混凝土 120mm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钢筋混凝土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463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满足低限要求</w:t>
            </w:r>
          </w:p>
        </w:tc>
      </w:tr>
    </w:tbl>
    <w:p>
      <w:pPr>
        <w:pStyle w:val="13"/>
        <w:ind w:firstLine="420" w:firstLineChars="0"/>
        <w:jc w:val="left"/>
        <w:rPr>
          <w:rFonts w:ascii="宋体" w:hAnsi="宋体" w:eastAsia="宋体"/>
          <w:kern w:val="0"/>
          <w:sz w:val="21"/>
          <w:szCs w:val="21"/>
        </w:rPr>
      </w:pPr>
      <w:bookmarkStart w:id="47" w:name="墙板空气声隔声量"/>
      <w:bookmarkEnd w:id="47"/>
    </w:p>
    <w:p>
      <w:pPr>
        <w:pStyle w:val="3"/>
        <w:rPr>
          <w:lang w:val="en-US"/>
        </w:rPr>
      </w:pPr>
    </w:p>
    <w:p>
      <w:pPr>
        <w:pStyle w:val="4"/>
      </w:pPr>
      <w:bookmarkStart w:id="48" w:name="_Toc15090"/>
      <w:r>
        <w:rPr>
          <w:rFonts w:hint="eastAsia"/>
        </w:rPr>
        <w:t>门窗的空气声隔声量</w:t>
      </w:r>
      <w:bookmarkEnd w:id="48"/>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办公室(办公建筑)的门1</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普通保温措施玻璃门（断桥铝合金框）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钢质门</w:t>
            </w:r>
            <w:r>
              <w:rPr>
                <w:sz w:val="21"/>
                <w:szCs w:val="21"/>
              </w:rPr>
              <w:br w:type="textWrapping"/>
            </w:r>
            <w:r>
              <w:rPr>
                <w:sz w:val="21"/>
                <w:szCs w:val="21"/>
              </w:rPr>
              <w:t>80厚钢门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0.0</w:t>
            </w:r>
          </w:p>
        </w:tc>
        <w:tc>
          <w:tcPr>
            <w:vAlign w:val="center"/>
          </w:tcPr>
          <w:p>
            <w:pPr>
              <w:rPr>
                <w:sz w:val="21"/>
                <w:szCs w:val="21"/>
              </w:rPr>
            </w:pPr>
            <w:r>
              <w:rPr>
                <w:sz w:val="21"/>
                <w:szCs w:val="21"/>
              </w:rPr>
              <w:t>31.0</w:t>
            </w:r>
          </w:p>
        </w:tc>
        <w:tc>
          <w:tcPr>
            <w:vAlign w:val="center"/>
          </w:tcPr>
          <w:p>
            <w:pPr>
              <w:rPr>
                <w:sz w:val="21"/>
                <w:szCs w:val="21"/>
              </w:rPr>
            </w:pPr>
            <w:r>
              <w:rPr>
                <w:sz w:val="21"/>
                <w:szCs w:val="21"/>
              </w:rPr>
              <w:t>32.0</w:t>
            </w:r>
          </w:p>
        </w:tc>
        <w:tc>
          <w:tcPr>
            <w:vAlign w:val="center"/>
          </w:tcPr>
          <w:p>
            <w:pPr>
              <w:rPr>
                <w:sz w:val="21"/>
                <w:szCs w:val="21"/>
              </w:rPr>
            </w:pPr>
            <w:r>
              <w:rPr>
                <w:sz w:val="21"/>
                <w:szCs w:val="21"/>
              </w:rPr>
              <w:t>32.0</w:t>
            </w:r>
          </w:p>
        </w:tc>
        <w:tc>
          <w:tcPr>
            <w:vAlign w:val="center"/>
          </w:tcPr>
          <w:p>
            <w:pPr>
              <w:rPr>
                <w:sz w:val="21"/>
                <w:szCs w:val="21"/>
              </w:rPr>
            </w:pPr>
            <w:r>
              <w:rPr>
                <w:sz w:val="21"/>
                <w:szCs w:val="21"/>
              </w:rPr>
              <w:t>37.0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10.0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办公室(办公建筑)的门2</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内门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木门</w:t>
            </w:r>
            <w:r>
              <w:rPr>
                <w:sz w:val="21"/>
                <w:szCs w:val="21"/>
              </w:rPr>
              <w:br w:type="textWrapping"/>
            </w:r>
            <w:r>
              <w:rPr>
                <w:sz w:val="21"/>
                <w:szCs w:val="21"/>
              </w:rPr>
              <w:t>120厚木门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0.0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32.0</w:t>
            </w:r>
          </w:p>
        </w:tc>
        <w:tc>
          <w:tcPr>
            <w:vAlign w:val="center"/>
          </w:tcPr>
          <w:p>
            <w:pPr>
              <w:rPr>
                <w:sz w:val="21"/>
                <w:szCs w:val="21"/>
              </w:rPr>
            </w:pPr>
            <w:r>
              <w:rPr>
                <w:sz w:val="21"/>
                <w:szCs w:val="21"/>
              </w:rP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10.0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上限-60系列平开铝合金断热窗6+12A+6LowE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夹层玻璃隔声窗</w:t>
            </w:r>
            <w:r>
              <w:rPr>
                <w:sz w:val="21"/>
                <w:szCs w:val="21"/>
              </w:rPr>
              <w:br w:type="textWrapping"/>
            </w:r>
            <w:r>
              <w:rPr>
                <w:sz w:val="21"/>
                <w:szCs w:val="21"/>
              </w:rP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5.0</w:t>
            </w:r>
          </w:p>
        </w:tc>
        <w:tc>
          <w:tcPr>
            <w:vAlign w:val="center"/>
          </w:tcPr>
          <w:p>
            <w:pPr>
              <w:rPr>
                <w:sz w:val="21"/>
                <w:szCs w:val="21"/>
              </w:rPr>
            </w:pPr>
            <w:r>
              <w:rPr>
                <w:sz w:val="21"/>
                <w:szCs w:val="21"/>
              </w:rPr>
              <w:t>1.0</w:t>
            </w:r>
          </w:p>
        </w:tc>
      </w:tr>
      <w:tr>
        <w:tblPrEx>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9" w:name="门窗空气声隔声量"/>
      <w:bookmarkEnd w:id="49"/>
    </w:p>
    <w:p>
      <w:pPr>
        <w:pStyle w:val="2"/>
        <w:ind w:left="669" w:hanging="669"/>
      </w:pPr>
      <w:bookmarkStart w:id="50" w:name="_Toc6372"/>
      <w:r>
        <w:rPr>
          <w:rFonts w:hint="eastAsia"/>
        </w:rPr>
        <w:t>楼板撞击声隔声性能</w:t>
      </w:r>
      <w:bookmarkEnd w:id="50"/>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50118-2010</w:t>
      </w:r>
      <w:r>
        <w:rPr>
          <w:rFonts w:hint="eastAsia"/>
          <w:sz w:val="21"/>
          <w:szCs w:val="21"/>
          <w:lang w:val="en-US"/>
        </w:rPr>
        <w:t>的要求，求得计权规范化撞击声压级来评价楼板</w:t>
      </w:r>
      <w:r>
        <w:rPr>
          <w:sz w:val="21"/>
          <w:szCs w:val="21"/>
          <w:lang w:val="en-US"/>
        </w:rPr>
        <w:t>的撞击声隔声性能。</w:t>
      </w:r>
    </w:p>
    <w:p>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办公室(办公建筑)顶板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20mm＋C15豆石混凝土 40mm＋挤塑聚苯板(ρ=25-32) 20mm＋石灰水泥砂浆（混合砂浆） 20mm＋钢筋混凝土 120mm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参照构造做法</w:t>
            </w:r>
          </w:p>
        </w:tc>
        <w:tc>
          <w:tcPr>
            <w:gridSpan w:val="5"/>
            <w:vAlign w:val="center"/>
          </w:tcPr>
          <w:p>
            <w:pPr>
              <w:rPr>
                <w:sz w:val="21"/>
                <w:szCs w:val="21"/>
              </w:rPr>
            </w:pPr>
            <w:r>
              <w:rPr>
                <w:sz w:val="21"/>
                <w:szCs w:val="21"/>
              </w:rPr>
              <w:t>钢筋混凝土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125Hz</w:t>
            </w:r>
          </w:p>
        </w:tc>
        <w:tc>
          <w:tcPr>
            <w:shd w:val="clear" w:color="auto" w:fill="E6E6E6"/>
            <w:vAlign w:val="center"/>
          </w:tcPr>
          <w:p>
            <w:pPr>
              <w:rPr>
                <w:sz w:val="21"/>
                <w:szCs w:val="21"/>
              </w:rPr>
            </w:pPr>
            <w:r>
              <w:rPr>
                <w:sz w:val="21"/>
                <w:szCs w:val="21"/>
              </w:rPr>
              <w:t>250Hz</w:t>
            </w:r>
          </w:p>
        </w:tc>
        <w:tc>
          <w:tcPr>
            <w:shd w:val="clear" w:color="auto" w:fill="E6E6E6"/>
            <w:vAlign w:val="center"/>
          </w:tcPr>
          <w:p>
            <w:pPr>
              <w:rPr>
                <w:sz w:val="21"/>
                <w:szCs w:val="21"/>
              </w:rPr>
            </w:pPr>
            <w:r>
              <w:rPr>
                <w:sz w:val="21"/>
                <w:szCs w:val="21"/>
              </w:rPr>
              <w:t>500Hz</w:t>
            </w:r>
          </w:p>
        </w:tc>
        <w:tc>
          <w:tcPr>
            <w:shd w:val="clear" w:color="auto" w:fill="E6E6E6"/>
            <w:vAlign w:val="center"/>
          </w:tcPr>
          <w:p>
            <w:pPr>
              <w:rPr>
                <w:sz w:val="21"/>
                <w:szCs w:val="21"/>
              </w:rPr>
            </w:pPr>
            <w:r>
              <w:rPr>
                <w:sz w:val="21"/>
                <w:szCs w:val="21"/>
              </w:rPr>
              <w:t>1000Hz</w:t>
            </w:r>
          </w:p>
        </w:tc>
        <w:tc>
          <w:tcPr>
            <w:shd w:val="clear" w:color="auto" w:fill="E6E6E6"/>
            <w:vAlign w:val="center"/>
          </w:tcPr>
          <w:p>
            <w:pPr>
              <w:rPr>
                <w:sz w:val="21"/>
                <w:szCs w:val="21"/>
              </w:rPr>
            </w:pPr>
            <w:r>
              <w:rPr>
                <w:sz w:val="21"/>
                <w:szCs w:val="21"/>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36.0</w:t>
            </w:r>
          </w:p>
        </w:tc>
        <w:tc>
          <w:tcPr>
            <w:vAlign w:val="center"/>
          </w:tcPr>
          <w:p>
            <w:pPr>
              <w:rPr>
                <w:sz w:val="21"/>
                <w:szCs w:val="21"/>
              </w:rPr>
            </w:pPr>
            <w:r>
              <w:rPr>
                <w:sz w:val="21"/>
                <w:szCs w:val="21"/>
              </w:rPr>
              <w:t>39.0</w:t>
            </w:r>
          </w:p>
        </w:tc>
        <w:tc>
          <w:tcPr>
            <w:vAlign w:val="center"/>
          </w:tcPr>
          <w:p>
            <w:pPr>
              <w:rPr>
                <w:sz w:val="21"/>
                <w:szCs w:val="21"/>
              </w:rPr>
            </w:pPr>
            <w:r>
              <w:rPr>
                <w:sz w:val="21"/>
                <w:szCs w:val="21"/>
              </w:rPr>
              <w:t>46.0</w:t>
            </w:r>
          </w:p>
        </w:tc>
        <w:tc>
          <w:tcPr>
            <w:vAlign w:val="center"/>
          </w:tcPr>
          <w:p>
            <w:pPr>
              <w:rPr>
                <w:sz w:val="21"/>
                <w:szCs w:val="21"/>
              </w:rPr>
            </w:pPr>
            <w:r>
              <w:rPr>
                <w:sz w:val="21"/>
                <w:szCs w:val="21"/>
              </w:rPr>
              <w:t>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数据来源</w:t>
            </w:r>
          </w:p>
        </w:tc>
        <w:tc>
          <w:tcPr>
            <w:gridSpan w:val="5"/>
            <w:vAlign w:val="center"/>
          </w:tcPr>
          <w:p>
            <w:pPr>
              <w:rPr>
                <w:sz w:val="21"/>
                <w:szCs w:val="21"/>
              </w:rPr>
            </w:pPr>
            <w:r>
              <w:rPr>
                <w:sz w:val="21"/>
                <w:szCs w:val="21"/>
              </w:rP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计权规范化撞击声压级</w:t>
            </w:r>
          </w:p>
        </w:tc>
        <w:tc>
          <w:tcPr>
            <w:gridSpan w:val="5"/>
            <w:vAlign w:val="center"/>
          </w:tcPr>
          <w:p>
            <w:pPr>
              <w:rPr>
                <w:sz w:val="21"/>
                <w:szCs w:val="21"/>
              </w:rPr>
            </w:pPr>
            <w:r>
              <w:rPr>
                <w:sz w:val="21"/>
                <w:szCs w:val="21"/>
              </w:rP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标准限值</w:t>
            </w:r>
          </w:p>
        </w:tc>
        <w:tc>
          <w:tcPr>
            <w:gridSpan w:val="5"/>
            <w:vAlign w:val="center"/>
          </w:tcPr>
          <w:p>
            <w:pPr>
              <w:rPr>
                <w:sz w:val="21"/>
                <w:szCs w:val="21"/>
              </w:rPr>
            </w:pPr>
            <w:r>
              <w:rPr>
                <w:sz w:val="21"/>
                <w:szCs w:val="21"/>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rPr>
          <w:lang w:val="en-US"/>
        </w:rPr>
      </w:pPr>
      <w:bookmarkStart w:id="51" w:name="撞击声隔声"/>
      <w:bookmarkEnd w:id="51"/>
    </w:p>
    <w:p>
      <w:pPr>
        <w:rPr>
          <w:sz w:val="21"/>
          <w:szCs w:val="21"/>
          <w:lang w:val="en-US"/>
        </w:rPr>
      </w:pPr>
    </w:p>
    <w:bookmarkEnd w:id="27"/>
    <w:p>
      <w:pPr>
        <w:pStyle w:val="2"/>
        <w:ind w:left="669" w:hanging="669"/>
        <w:rPr>
          <w:kern w:val="2"/>
        </w:rPr>
      </w:pPr>
      <w:bookmarkStart w:id="52" w:name="_Toc32273"/>
      <w:r>
        <w:rPr>
          <w:rFonts w:hint="eastAsia"/>
          <w:kern w:val="2"/>
        </w:rPr>
        <w:t>结论</w:t>
      </w:r>
      <w:bookmarkEnd w:id="52"/>
    </w:p>
    <w:p>
      <w:pPr>
        <w:pStyle w:val="3"/>
        <w:ind w:firstLine="420" w:firstLineChars="200"/>
      </w:pPr>
      <w:r>
        <w:rPr>
          <w:rFonts w:hint="eastAsia"/>
        </w:rPr>
        <w:t>根据上述计算可知，本项目围护</w:t>
      </w:r>
      <w:r>
        <w:t>结构隔声结果</w:t>
      </w:r>
      <w:r>
        <w:rPr>
          <w:rFonts w:hint="eastAsia"/>
        </w:rPr>
        <w:t>如下表所示：</w:t>
      </w:r>
    </w:p>
    <w:p>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单值评价量+频谱修正量</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办公室(办公建筑)与普通房间之间隔墙</w:t>
            </w:r>
          </w:p>
        </w:tc>
        <w:tc>
          <w:tcPr>
            <w:vAlign w:val="center"/>
          </w:tcPr>
          <w:p>
            <w:pPr>
              <w:rPr>
                <w:sz w:val="21"/>
                <w:szCs w:val="21"/>
              </w:rPr>
            </w:pPr>
            <w:r>
              <w:rPr>
                <w:b/>
                <w:sz w:val="21"/>
                <w:szCs w:val="21"/>
              </w:rPr>
              <w:t>48</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满足平均要求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办公室(办公建筑)外墙</w:t>
            </w:r>
          </w:p>
        </w:tc>
        <w:tc>
          <w:tcPr>
            <w:vAlign w:val="center"/>
          </w:tcPr>
          <w:p>
            <w:pPr>
              <w:rPr>
                <w:sz w:val="21"/>
                <w:szCs w:val="21"/>
              </w:rPr>
            </w:pPr>
            <w:r>
              <w:rPr>
                <w:b/>
                <w:sz w:val="21"/>
                <w:szCs w:val="21"/>
              </w:rPr>
              <w:t>46</w:t>
            </w:r>
          </w:p>
        </w:tc>
        <w:tc>
          <w:tcPr>
            <w:vAlign w:val="center"/>
          </w:tcPr>
          <w:p>
            <w:pPr>
              <w:rPr>
                <w:sz w:val="21"/>
                <w:szCs w:val="21"/>
              </w:rPr>
            </w:pPr>
            <w:r>
              <w:rPr>
                <w:sz w:val="21"/>
                <w:szCs w:val="21"/>
              </w:rPr>
              <w:t>低限:≥45,高要求:≥50</w:t>
            </w:r>
          </w:p>
        </w:tc>
        <w:tc>
          <w:tcPr>
            <w:vAlign w:val="center"/>
          </w:tcPr>
          <w:p>
            <w:pPr>
              <w:rPr>
                <w:sz w:val="21"/>
                <w:szCs w:val="21"/>
              </w:rPr>
            </w:pPr>
            <w:r>
              <w:rPr>
                <w:b/>
                <w:sz w:val="21"/>
                <w:szCs w:val="21"/>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办公室(办公建筑)与普通房间之间楼板</w:t>
            </w:r>
          </w:p>
        </w:tc>
        <w:tc>
          <w:tcPr>
            <w:vAlign w:val="center"/>
          </w:tcPr>
          <w:p>
            <w:pPr>
              <w:rPr>
                <w:sz w:val="21"/>
                <w:szCs w:val="21"/>
              </w:rPr>
            </w:pPr>
            <w:r>
              <w:rPr>
                <w:b/>
                <w:sz w:val="21"/>
                <w:szCs w:val="21"/>
              </w:rPr>
              <w:t>47</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办公室(办公建筑)的门</w:t>
            </w:r>
          </w:p>
        </w:tc>
        <w:tc>
          <w:tcPr>
            <w:vAlign w:val="center"/>
          </w:tcPr>
          <w:p>
            <w:pPr>
              <w:rPr>
                <w:sz w:val="21"/>
                <w:szCs w:val="21"/>
              </w:rPr>
            </w:pPr>
            <w:r>
              <w:rPr>
                <w:b/>
                <w:sz w:val="21"/>
                <w:szCs w:val="21"/>
              </w:rPr>
              <w:t>21</w:t>
            </w:r>
          </w:p>
        </w:tc>
        <w:tc>
          <w:tcPr>
            <w:vAlign w:val="center"/>
          </w:tcPr>
          <w:p>
            <w:pPr>
              <w:rPr>
                <w:sz w:val="21"/>
                <w:szCs w:val="21"/>
              </w:rPr>
            </w:pPr>
            <w:r>
              <w:rPr>
                <w:sz w:val="21"/>
                <w:szCs w:val="21"/>
              </w:rPr>
              <w:t>低限:≥20,高要求:≥25</w:t>
            </w:r>
          </w:p>
        </w:tc>
        <w:tc>
          <w:tcPr>
            <w:vAlign w:val="center"/>
          </w:tcPr>
          <w:p>
            <w:pPr>
              <w:rPr>
                <w:sz w:val="21"/>
                <w:szCs w:val="21"/>
              </w:rPr>
            </w:pPr>
            <w:r>
              <w:rPr>
                <w:b/>
                <w:sz w:val="21"/>
                <w:szCs w:val="21"/>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办公室(办公建筑)外窗</w:t>
            </w:r>
          </w:p>
        </w:tc>
        <w:tc>
          <w:tcPr>
            <w:vAlign w:val="center"/>
          </w:tcPr>
          <w:p>
            <w:pPr>
              <w:rPr>
                <w:sz w:val="21"/>
                <w:szCs w:val="21"/>
              </w:rPr>
            </w:pPr>
            <w:r>
              <w:rPr>
                <w:b/>
                <w:sz w:val="21"/>
                <w:szCs w:val="21"/>
              </w:rPr>
              <w:t>33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bl>
    <w:p>
      <w:bookmarkStart w:id="53" w:name="构件隔声性能统计"/>
      <w:bookmarkEnd w:id="53"/>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计权规范化撞击声压级</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办公室(办公建筑)顶板</w:t>
            </w:r>
          </w:p>
        </w:tc>
        <w:tc>
          <w:tcPr>
            <w:vAlign w:val="center"/>
          </w:tcPr>
          <w:p>
            <w:pPr>
              <w:rPr>
                <w:sz w:val="21"/>
                <w:szCs w:val="21"/>
              </w:rPr>
            </w:pPr>
            <w:r>
              <w:rPr>
                <w:b/>
                <w:sz w:val="21"/>
                <w:szCs w:val="21"/>
              </w:rPr>
              <w:t>55</w:t>
            </w:r>
          </w:p>
        </w:tc>
        <w:tc>
          <w:tcPr>
            <w:vAlign w:val="center"/>
          </w:tcPr>
          <w:p>
            <w:pPr>
              <w:rPr>
                <w:sz w:val="21"/>
                <w:szCs w:val="21"/>
              </w:rPr>
            </w:pPr>
            <w:r>
              <w:rPr>
                <w:sz w:val="21"/>
                <w:szCs w:val="21"/>
              </w:rPr>
              <w:t>低限:&lt;75,高要求:&lt;65</w:t>
            </w:r>
          </w:p>
        </w:tc>
        <w:tc>
          <w:tcPr>
            <w:vAlign w:val="center"/>
          </w:tcPr>
          <w:p>
            <w:pPr>
              <w:rPr>
                <w:sz w:val="21"/>
                <w:szCs w:val="21"/>
              </w:rPr>
            </w:pPr>
            <w:r>
              <w:rPr>
                <w:b/>
                <w:sz w:val="21"/>
                <w:szCs w:val="21"/>
              </w:rPr>
              <w:t>满足高要求</w:t>
            </w:r>
          </w:p>
        </w:tc>
      </w:tr>
    </w:tbl>
    <w:p>
      <w:bookmarkStart w:id="54" w:name="撞击声隔声性能统计"/>
      <w:bookmarkEnd w:id="54"/>
    </w:p>
    <w:p>
      <w:pPr>
        <w:pStyle w:val="3"/>
        <w:rPr>
          <w:rFonts w:ascii="宋体" w:hAnsi="宋体"/>
        </w:rPr>
      </w:pPr>
      <w:r>
        <w:rPr>
          <w:rFonts w:hint="eastAsia" w:ascii="宋体" w:hAnsi="宋体"/>
        </w:rPr>
        <w:t xml:space="preserve">    综上，根据</w:t>
      </w:r>
      <w:bookmarkStart w:id="55" w:name="标准名称2"/>
      <w:r>
        <w:t>河北省《绿色建筑评价标准》DB13(J)/T  8427-2021</w:t>
      </w:r>
      <w:bookmarkEnd w:id="55"/>
      <w:r>
        <w:rPr>
          <w:rFonts w:hint="eastAsia" w:ascii="宋体" w:hAnsi="宋体"/>
        </w:rPr>
        <w:t>、《绿色建筑评</w:t>
      </w:r>
      <w:r>
        <w:t>价标准》GB/T 50378-2019和《民用建筑隔声设计规范》GB 50118-2010评价要求，可</w:t>
      </w:r>
      <w:r>
        <w:rPr>
          <w:rFonts w:hint="eastAsia" w:ascii="宋体" w:hAnsi="宋体"/>
        </w:rPr>
        <w:t>得围护结构隔声评价结果及得分情况如下表：</w:t>
      </w:r>
    </w:p>
    <w:p>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4"/>
        <w:gridCol w:w="5897"/>
        <w:gridCol w:w="1570"/>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jc w:val="center"/>
        </w:trPr>
        <w:tc>
          <w:tcPr>
            <w:tcW w:w="1134" w:type="dxa"/>
            <w:shd w:val="clear" w:color="auto" w:fill="E6E6E6"/>
            <w:vAlign w:val="center"/>
          </w:tcPr>
          <w:p>
            <w:pPr>
              <w:jc w:val="center"/>
              <w:rPr>
                <w:bCs/>
                <w:sz w:val="21"/>
                <w:szCs w:val="21"/>
              </w:rPr>
            </w:pPr>
            <w:r>
              <w:rPr>
                <w:bCs/>
                <w:sz w:val="21"/>
                <w:szCs w:val="21"/>
              </w:rPr>
              <w:t>检查项</w:t>
            </w:r>
          </w:p>
        </w:tc>
        <w:tc>
          <w:tcPr>
            <w:tcW w:w="5897" w:type="dxa"/>
            <w:shd w:val="clear" w:color="auto" w:fill="E6E6E6"/>
          </w:tcPr>
          <w:p>
            <w:pPr>
              <w:jc w:val="center"/>
              <w:rPr>
                <w:bCs/>
                <w:sz w:val="21"/>
                <w:szCs w:val="21"/>
              </w:rPr>
            </w:pPr>
            <w:r>
              <w:rPr>
                <w:rFonts w:hint="eastAsia"/>
                <w:bCs/>
                <w:sz w:val="21"/>
                <w:szCs w:val="21"/>
              </w:rPr>
              <w:t>评价</w:t>
            </w:r>
            <w:r>
              <w:rPr>
                <w:bCs/>
                <w:sz w:val="21"/>
                <w:szCs w:val="21"/>
              </w:rPr>
              <w:t>依据</w:t>
            </w:r>
          </w:p>
        </w:tc>
        <w:tc>
          <w:tcPr>
            <w:tcW w:w="1570" w:type="dxa"/>
            <w:shd w:val="clear" w:color="auto" w:fill="E6E6E6"/>
            <w:vAlign w:val="center"/>
          </w:tcPr>
          <w:p>
            <w:pPr>
              <w:jc w:val="center"/>
              <w:rPr>
                <w:bCs/>
                <w:sz w:val="21"/>
                <w:szCs w:val="21"/>
              </w:rPr>
            </w:pPr>
            <w:r>
              <w:rPr>
                <w:bCs/>
                <w:sz w:val="21"/>
                <w:szCs w:val="21"/>
              </w:rPr>
              <w:t>结论</w:t>
            </w:r>
          </w:p>
        </w:tc>
        <w:tc>
          <w:tcPr>
            <w:tcW w:w="737" w:type="dxa"/>
            <w:shd w:val="clear" w:color="auto" w:fill="E6E6E6"/>
            <w:vAlign w:val="center"/>
          </w:tcPr>
          <w:p>
            <w:pPr>
              <w:jc w:val="center"/>
              <w:rPr>
                <w:bCs/>
                <w:sz w:val="21"/>
                <w:szCs w:val="21"/>
              </w:rPr>
            </w:pPr>
            <w:r>
              <w:rPr>
                <w:bCs/>
                <w:sz w:val="21"/>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jc w:val="center"/>
        </w:trPr>
        <w:tc>
          <w:tcPr>
            <w:tcW w:w="1134" w:type="dxa"/>
            <w:vMerge w:val="restart"/>
            <w:shd w:val="clear" w:color="auto" w:fill="E6E6E6"/>
            <w:vAlign w:val="center"/>
          </w:tcPr>
          <w:p>
            <w:pPr>
              <w:pStyle w:val="3"/>
              <w:jc w:val="center"/>
            </w:pPr>
            <w:r>
              <w:rPr>
                <w:rFonts w:hint="eastAsia"/>
              </w:rPr>
              <w:t>空气声</w:t>
            </w:r>
          </w:p>
          <w:p>
            <w:pPr>
              <w:pStyle w:val="3"/>
              <w:jc w:val="center"/>
            </w:pPr>
            <w:r>
              <w:rPr>
                <w:rFonts w:hint="eastAsia"/>
              </w:rPr>
              <w:t>隔声</w:t>
            </w:r>
          </w:p>
        </w:tc>
        <w:tc>
          <w:tcPr>
            <w:tcW w:w="5897"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70" w:type="dxa"/>
            <w:vAlign w:val="center"/>
          </w:tcPr>
          <w:p>
            <w:pPr>
              <w:jc w:val="center"/>
              <w:rPr>
                <w:b/>
                <w:bCs/>
                <w:sz w:val="21"/>
                <w:szCs w:val="21"/>
                <w:lang w:val="en-US"/>
              </w:rPr>
            </w:pPr>
            <w:bookmarkStart w:id="56" w:name="空气声控制项结论"/>
            <w:r>
              <w:rPr>
                <w:rFonts w:hint="eastAsia"/>
                <w:b/>
                <w:bCs/>
                <w:sz w:val="21"/>
                <w:szCs w:val="21"/>
                <w:lang w:val="en-US"/>
              </w:rPr>
              <w:t>满足</w:t>
            </w:r>
            <w:bookmarkEnd w:id="56"/>
          </w:p>
        </w:tc>
        <w:tc>
          <w:tcPr>
            <w:tcW w:w="737" w:type="dxa"/>
            <w:vAlign w:val="center"/>
          </w:tcPr>
          <w:p>
            <w:pPr>
              <w:jc w:val="center"/>
              <w:rPr>
                <w:b/>
                <w:bCs/>
                <w:sz w:val="21"/>
                <w:szCs w:val="21"/>
                <w:lang w:val="en-US"/>
              </w:rPr>
            </w:pP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jc w:val="center"/>
        </w:trPr>
        <w:tc>
          <w:tcPr>
            <w:tcW w:w="1134" w:type="dxa"/>
            <w:vMerge w:val="continue"/>
            <w:shd w:val="clear" w:color="auto" w:fill="E6E6E6"/>
            <w:vAlign w:val="center"/>
          </w:tcPr>
          <w:p>
            <w:pPr>
              <w:pStyle w:val="3"/>
              <w:jc w:val="center"/>
            </w:pPr>
          </w:p>
        </w:tc>
        <w:tc>
          <w:tcPr>
            <w:tcW w:w="5897" w:type="dxa"/>
          </w:tcPr>
          <w:p>
            <w:pPr>
              <w:pStyle w:val="3"/>
            </w:pPr>
            <w:r>
              <w:rPr>
                <w:rFonts w:hint="eastAsia"/>
              </w:rPr>
              <w:t>评分项：</w:t>
            </w:r>
          </w:p>
          <w:p>
            <w:pPr>
              <w:pStyle w:val="3"/>
            </w:pPr>
            <w:bookmarkStart w:id="57" w:name="室内空气声条文内容"/>
            <w:bookmarkEnd w:id="57"/>
            <w:r>
              <w:t>5.2.7 构件及相邻房间之间的空气声隔声性能达到现行国家标准《民用建筑隔声设计规范》GB 50118 中的低限标准限值和高要求标准限值的平均值，且高于低限标准限值3dB，得3分；达到高要求标准限值，得5分；</w:t>
            </w:r>
          </w:p>
        </w:tc>
        <w:tc>
          <w:tcPr>
            <w:tcW w:w="1570" w:type="dxa"/>
            <w:vAlign w:val="center"/>
          </w:tcPr>
          <w:p>
            <w:pPr>
              <w:jc w:val="center"/>
              <w:rPr>
                <w:b/>
                <w:bCs/>
                <w:sz w:val="21"/>
                <w:szCs w:val="21"/>
                <w:lang w:val="en-US"/>
              </w:rPr>
            </w:pPr>
            <w:bookmarkStart w:id="58" w:name="空气声评分项结论"/>
            <w:r>
              <w:rPr>
                <w:rFonts w:hint="eastAsia"/>
                <w:b/>
                <w:bCs/>
                <w:sz w:val="21"/>
                <w:szCs w:val="21"/>
                <w:lang w:val="en-US"/>
              </w:rPr>
              <w:t>满足低限要求</w:t>
            </w:r>
            <w:bookmarkEnd w:id="58"/>
          </w:p>
        </w:tc>
        <w:tc>
          <w:tcPr>
            <w:tcW w:w="737" w:type="dxa"/>
            <w:vAlign w:val="center"/>
          </w:tcPr>
          <w:p>
            <w:pPr>
              <w:jc w:val="center"/>
              <w:rPr>
                <w:b/>
                <w:bCs/>
                <w:sz w:val="21"/>
                <w:szCs w:val="21"/>
                <w:lang w:val="en-US"/>
              </w:rPr>
            </w:pPr>
            <w:bookmarkStart w:id="59" w:name="空气声得分"/>
            <w:r>
              <w:rPr>
                <w:rFonts w:hint="eastAsia"/>
                <w:b/>
                <w:bCs/>
                <w:sz w:val="21"/>
                <w:szCs w:val="21"/>
                <w:lang w:val="en-US"/>
              </w:rPr>
              <w:t>0</w:t>
            </w:r>
            <w:bookmarkEnd w:id="59"/>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jc w:val="center"/>
        </w:trPr>
        <w:tc>
          <w:tcPr>
            <w:tcW w:w="1134" w:type="dxa"/>
            <w:vMerge w:val="restart"/>
            <w:shd w:val="clear" w:color="auto" w:fill="E6E6E6"/>
            <w:vAlign w:val="center"/>
          </w:tcPr>
          <w:p>
            <w:pPr>
              <w:pStyle w:val="3"/>
              <w:jc w:val="center"/>
            </w:pPr>
            <w:r>
              <w:rPr>
                <w:rFonts w:hint="eastAsia"/>
              </w:rPr>
              <w:t>撞击声</w:t>
            </w:r>
          </w:p>
          <w:p>
            <w:pPr>
              <w:pStyle w:val="3"/>
              <w:jc w:val="center"/>
            </w:pPr>
            <w:r>
              <w:rPr>
                <w:rFonts w:hint="eastAsia"/>
              </w:rPr>
              <w:t>隔声</w:t>
            </w:r>
          </w:p>
        </w:tc>
        <w:tc>
          <w:tcPr>
            <w:tcW w:w="5897"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70" w:type="dxa"/>
            <w:vAlign w:val="center"/>
          </w:tcPr>
          <w:p>
            <w:pPr>
              <w:jc w:val="center"/>
              <w:rPr>
                <w:b/>
                <w:bCs/>
                <w:sz w:val="21"/>
                <w:szCs w:val="21"/>
                <w:lang w:val="en-US"/>
              </w:rPr>
            </w:pPr>
            <w:bookmarkStart w:id="60" w:name="撞击声控制项结论"/>
            <w:r>
              <w:rPr>
                <w:rFonts w:hint="eastAsia"/>
                <w:b/>
                <w:bCs/>
                <w:sz w:val="21"/>
                <w:szCs w:val="21"/>
                <w:lang w:val="en-US"/>
              </w:rPr>
              <w:t>满足</w:t>
            </w:r>
            <w:bookmarkEnd w:id="60"/>
          </w:p>
        </w:tc>
        <w:tc>
          <w:tcPr>
            <w:tcW w:w="737" w:type="dxa"/>
            <w:vAlign w:val="center"/>
          </w:tcPr>
          <w:p>
            <w:pPr>
              <w:jc w:val="center"/>
              <w:rPr>
                <w:b/>
                <w:bCs/>
                <w:sz w:val="21"/>
                <w:szCs w:val="21"/>
                <w:lang w:val="en-US"/>
              </w:rPr>
            </w:pPr>
            <w:r>
              <w:rPr>
                <w:rFonts w:hint="eastAsia"/>
                <w:b/>
                <w:bCs/>
                <w:sz w:val="21"/>
                <w:szCs w:val="21"/>
                <w:lang w:val="en-US"/>
              </w:rPr>
              <w:t>-</w:t>
            </w: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jc w:val="center"/>
        </w:trPr>
        <w:tc>
          <w:tcPr>
            <w:tcW w:w="1134" w:type="dxa"/>
            <w:vMerge w:val="continue"/>
            <w:shd w:val="clear" w:color="auto" w:fill="E6E6E6"/>
            <w:vAlign w:val="center"/>
          </w:tcPr>
          <w:p>
            <w:pPr>
              <w:pStyle w:val="3"/>
            </w:pPr>
          </w:p>
        </w:tc>
        <w:tc>
          <w:tcPr>
            <w:tcW w:w="5897" w:type="dxa"/>
          </w:tcPr>
          <w:p>
            <w:pPr>
              <w:pStyle w:val="3"/>
            </w:pPr>
            <w:r>
              <w:rPr>
                <w:rFonts w:hint="eastAsia"/>
              </w:rPr>
              <w:t>评分项：</w:t>
            </w:r>
          </w:p>
          <w:p>
            <w:pPr>
              <w:pStyle w:val="3"/>
            </w:pPr>
            <w:bookmarkStart w:id="61" w:name="室内撞击声条文内容"/>
            <w:bookmarkEnd w:id="61"/>
            <w:r>
              <w:t>5.2.7 增加楼板厚度或采用浮筑楼板、弹性面层、隔声吊顶、阻尼板等措施加强楼板撞击声隔声性能，楼板的撞击声隔声性达到现行国家标准《民用建筑隔声设计规范》GB 50118 中的低限标准限值和高要求标准限值的平均值，且低于低限标准限值3dB，得3分；达到高要求标准限值，得5分。</w:t>
            </w:r>
          </w:p>
        </w:tc>
        <w:tc>
          <w:tcPr>
            <w:tcW w:w="1570" w:type="dxa"/>
            <w:vAlign w:val="center"/>
          </w:tcPr>
          <w:p>
            <w:pPr>
              <w:jc w:val="center"/>
              <w:rPr>
                <w:b/>
                <w:bCs/>
                <w:sz w:val="21"/>
                <w:szCs w:val="21"/>
                <w:lang w:val="en-US"/>
              </w:rPr>
            </w:pPr>
            <w:bookmarkStart w:id="62" w:name="撞击声评分项结论"/>
            <w:r>
              <w:rPr>
                <w:rFonts w:hint="eastAsia"/>
                <w:b/>
                <w:bCs/>
                <w:sz w:val="21"/>
                <w:szCs w:val="21"/>
                <w:lang w:val="en-US"/>
              </w:rPr>
              <w:t>满足高要求</w:t>
            </w:r>
            <w:bookmarkEnd w:id="62"/>
          </w:p>
        </w:tc>
        <w:tc>
          <w:tcPr>
            <w:tcW w:w="737" w:type="dxa"/>
            <w:vAlign w:val="center"/>
          </w:tcPr>
          <w:p>
            <w:pPr>
              <w:jc w:val="center"/>
              <w:rPr>
                <w:b/>
                <w:bCs/>
                <w:sz w:val="21"/>
                <w:szCs w:val="21"/>
                <w:lang w:val="en-US"/>
              </w:rPr>
            </w:pPr>
            <w:bookmarkStart w:id="63" w:name="撞击声得分"/>
            <w:r>
              <w:rPr>
                <w:rFonts w:hint="eastAsia"/>
                <w:b/>
                <w:bCs/>
                <w:sz w:val="21"/>
                <w:szCs w:val="21"/>
                <w:lang w:val="en-US"/>
              </w:rPr>
              <w:t>5</w:t>
            </w:r>
            <w:bookmarkEnd w:id="63"/>
          </w:p>
        </w:tc>
      </w:tr>
    </w:tbl>
    <w:p>
      <w:pPr>
        <w:pStyle w:val="13"/>
        <w:spacing w:line="360" w:lineRule="auto"/>
        <w:ind w:firstLine="0" w:firstLineChars="0"/>
        <w:rPr>
          <w:rFonts w:ascii="宋体" w:hAnsi="宋体" w:eastAsia="宋体"/>
          <w:sz w:val="21"/>
          <w:szCs w:val="21"/>
          <w:lang w:val="en-GB"/>
        </w:rPr>
      </w:pPr>
    </w:p>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7</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9</w:instrText>
    </w:r>
    <w:r>
      <w:fldChar w:fldCharType="end"/>
    </w:r>
    <w:r>
      <w:instrText xml:space="preserve">-2\* Arabic  \* MERGEFORMAT </w:instrText>
    </w:r>
    <w:r>
      <w:fldChar w:fldCharType="separate"/>
    </w:r>
    <w:r>
      <w:rPr>
        <w:b/>
      </w:rPr>
      <w:t>7</w:t>
    </w:r>
    <w:r>
      <w:fldChar w:fldCharType="end"/>
    </w:r>
    <w:r>
      <w:ptab w:relativeTo="margin" w:alignment="right" w:leader="none"/>
    </w:r>
    <w: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502076670" name="Picture 502076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76670" name="Picture 502076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kN2I1ZDNiYWI0MGMzN2Y3OWUwMWNlZDA2NjMwYjYifQ=="/>
  </w:docVars>
  <w:rsids>
    <w:rsidRoot w:val="0F526E9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95234"/>
    <w:rsid w:val="000A0B6F"/>
    <w:rsid w:val="000B01B8"/>
    <w:rsid w:val="000B124C"/>
    <w:rsid w:val="000B5216"/>
    <w:rsid w:val="000C1C69"/>
    <w:rsid w:val="000C2DF3"/>
    <w:rsid w:val="000C5DA8"/>
    <w:rsid w:val="000C6F93"/>
    <w:rsid w:val="000D0B54"/>
    <w:rsid w:val="000D245D"/>
    <w:rsid w:val="000D5BDD"/>
    <w:rsid w:val="000D5DC6"/>
    <w:rsid w:val="000D658A"/>
    <w:rsid w:val="000E2295"/>
    <w:rsid w:val="000E48B0"/>
    <w:rsid w:val="000E518D"/>
    <w:rsid w:val="000E63A5"/>
    <w:rsid w:val="000F1A5A"/>
    <w:rsid w:val="000F1BA5"/>
    <w:rsid w:val="000F3057"/>
    <w:rsid w:val="000F797B"/>
    <w:rsid w:val="000F7DE6"/>
    <w:rsid w:val="000F7EF2"/>
    <w:rsid w:val="00101D99"/>
    <w:rsid w:val="00102570"/>
    <w:rsid w:val="001050EA"/>
    <w:rsid w:val="00106556"/>
    <w:rsid w:val="00112A59"/>
    <w:rsid w:val="001136D9"/>
    <w:rsid w:val="001137DB"/>
    <w:rsid w:val="001141D0"/>
    <w:rsid w:val="001175D6"/>
    <w:rsid w:val="001202F7"/>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3F9"/>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087F"/>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5C64"/>
    <w:rsid w:val="002C6F49"/>
    <w:rsid w:val="002D2391"/>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3D40"/>
    <w:rsid w:val="003345C5"/>
    <w:rsid w:val="0033697B"/>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679D8"/>
    <w:rsid w:val="003714A3"/>
    <w:rsid w:val="00371A39"/>
    <w:rsid w:val="00372E9A"/>
    <w:rsid w:val="00375523"/>
    <w:rsid w:val="003757C4"/>
    <w:rsid w:val="003759B1"/>
    <w:rsid w:val="003764F9"/>
    <w:rsid w:val="00377D8F"/>
    <w:rsid w:val="0038007A"/>
    <w:rsid w:val="00380667"/>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E5A67"/>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47A83"/>
    <w:rsid w:val="00450508"/>
    <w:rsid w:val="00462EFE"/>
    <w:rsid w:val="00464841"/>
    <w:rsid w:val="00466A5B"/>
    <w:rsid w:val="00466BC5"/>
    <w:rsid w:val="004714BC"/>
    <w:rsid w:val="0047173D"/>
    <w:rsid w:val="00472C2C"/>
    <w:rsid w:val="00472D22"/>
    <w:rsid w:val="00475D7F"/>
    <w:rsid w:val="0047643A"/>
    <w:rsid w:val="004813EC"/>
    <w:rsid w:val="00483102"/>
    <w:rsid w:val="004852CE"/>
    <w:rsid w:val="00485717"/>
    <w:rsid w:val="00485EC1"/>
    <w:rsid w:val="00491102"/>
    <w:rsid w:val="0049399F"/>
    <w:rsid w:val="00496BDC"/>
    <w:rsid w:val="004A225A"/>
    <w:rsid w:val="004A5418"/>
    <w:rsid w:val="004A5550"/>
    <w:rsid w:val="004A7887"/>
    <w:rsid w:val="004B076C"/>
    <w:rsid w:val="004B1747"/>
    <w:rsid w:val="004B1BCC"/>
    <w:rsid w:val="004B2B70"/>
    <w:rsid w:val="004B3515"/>
    <w:rsid w:val="004B448F"/>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6746"/>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074F"/>
    <w:rsid w:val="006C0B8D"/>
    <w:rsid w:val="006C20E1"/>
    <w:rsid w:val="006C33EF"/>
    <w:rsid w:val="006D24BC"/>
    <w:rsid w:val="006D2ED6"/>
    <w:rsid w:val="006D6540"/>
    <w:rsid w:val="006D7B4B"/>
    <w:rsid w:val="006E0745"/>
    <w:rsid w:val="006E0FC9"/>
    <w:rsid w:val="006E3B8E"/>
    <w:rsid w:val="006E3C7C"/>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47F22"/>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3076"/>
    <w:rsid w:val="007A5720"/>
    <w:rsid w:val="007B1846"/>
    <w:rsid w:val="007B1873"/>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43FF"/>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4203"/>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295"/>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4EDF"/>
    <w:rsid w:val="009B59C1"/>
    <w:rsid w:val="009B5C93"/>
    <w:rsid w:val="009B77B4"/>
    <w:rsid w:val="009C0FF5"/>
    <w:rsid w:val="009C680D"/>
    <w:rsid w:val="009C6C23"/>
    <w:rsid w:val="009D0BC7"/>
    <w:rsid w:val="009D19E9"/>
    <w:rsid w:val="009D1AF2"/>
    <w:rsid w:val="009D44D6"/>
    <w:rsid w:val="009D735B"/>
    <w:rsid w:val="009D7ECB"/>
    <w:rsid w:val="009E073D"/>
    <w:rsid w:val="009E0DBC"/>
    <w:rsid w:val="009E28DC"/>
    <w:rsid w:val="009E4B8B"/>
    <w:rsid w:val="009E524E"/>
    <w:rsid w:val="009E7331"/>
    <w:rsid w:val="009F4C20"/>
    <w:rsid w:val="009F678A"/>
    <w:rsid w:val="00A0434D"/>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931"/>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5AEF"/>
    <w:rsid w:val="00AC69BD"/>
    <w:rsid w:val="00AC7840"/>
    <w:rsid w:val="00AD755A"/>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3EA2"/>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84EC0"/>
    <w:rsid w:val="00B9009D"/>
    <w:rsid w:val="00B91A6F"/>
    <w:rsid w:val="00B92055"/>
    <w:rsid w:val="00B93486"/>
    <w:rsid w:val="00B9558B"/>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BF2892"/>
    <w:rsid w:val="00C00EF3"/>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EB3"/>
    <w:rsid w:val="00C61F08"/>
    <w:rsid w:val="00C63237"/>
    <w:rsid w:val="00C67778"/>
    <w:rsid w:val="00C67958"/>
    <w:rsid w:val="00C7287B"/>
    <w:rsid w:val="00C732DD"/>
    <w:rsid w:val="00C740F7"/>
    <w:rsid w:val="00C753F3"/>
    <w:rsid w:val="00C762AC"/>
    <w:rsid w:val="00C77B6E"/>
    <w:rsid w:val="00C80797"/>
    <w:rsid w:val="00C837D5"/>
    <w:rsid w:val="00C85001"/>
    <w:rsid w:val="00C854E3"/>
    <w:rsid w:val="00C8664A"/>
    <w:rsid w:val="00C91672"/>
    <w:rsid w:val="00C92E02"/>
    <w:rsid w:val="00C94F50"/>
    <w:rsid w:val="00C97E25"/>
    <w:rsid w:val="00CA08E8"/>
    <w:rsid w:val="00CA0C2D"/>
    <w:rsid w:val="00CA17F8"/>
    <w:rsid w:val="00CA1ECA"/>
    <w:rsid w:val="00CA210D"/>
    <w:rsid w:val="00CA266A"/>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48DF"/>
    <w:rsid w:val="00CF6700"/>
    <w:rsid w:val="00D0194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68CD"/>
    <w:rsid w:val="00D871F5"/>
    <w:rsid w:val="00D92753"/>
    <w:rsid w:val="00D93D1B"/>
    <w:rsid w:val="00D955A0"/>
    <w:rsid w:val="00D955B1"/>
    <w:rsid w:val="00D956E0"/>
    <w:rsid w:val="00DA09E0"/>
    <w:rsid w:val="00DA4F7A"/>
    <w:rsid w:val="00DA51D9"/>
    <w:rsid w:val="00DA52AA"/>
    <w:rsid w:val="00DA7242"/>
    <w:rsid w:val="00DB14A6"/>
    <w:rsid w:val="00DB4CC2"/>
    <w:rsid w:val="00DC0B59"/>
    <w:rsid w:val="00DC68F7"/>
    <w:rsid w:val="00DC73AD"/>
    <w:rsid w:val="00DD26A2"/>
    <w:rsid w:val="00DD3180"/>
    <w:rsid w:val="00DE18F2"/>
    <w:rsid w:val="00DE2E75"/>
    <w:rsid w:val="00DE6AA1"/>
    <w:rsid w:val="00DE6E43"/>
    <w:rsid w:val="00DF289B"/>
    <w:rsid w:val="00DF470C"/>
    <w:rsid w:val="00DF7CE3"/>
    <w:rsid w:val="00E0178D"/>
    <w:rsid w:val="00E07117"/>
    <w:rsid w:val="00E07A48"/>
    <w:rsid w:val="00E07C4C"/>
    <w:rsid w:val="00E110F8"/>
    <w:rsid w:val="00E11582"/>
    <w:rsid w:val="00E11DBB"/>
    <w:rsid w:val="00E1215A"/>
    <w:rsid w:val="00E12F08"/>
    <w:rsid w:val="00E1426E"/>
    <w:rsid w:val="00E14E17"/>
    <w:rsid w:val="00E17239"/>
    <w:rsid w:val="00E20F83"/>
    <w:rsid w:val="00E2135C"/>
    <w:rsid w:val="00E22445"/>
    <w:rsid w:val="00E22FB0"/>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76E9D"/>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45F8"/>
    <w:rsid w:val="00ED6759"/>
    <w:rsid w:val="00ED74C1"/>
    <w:rsid w:val="00EE2E3D"/>
    <w:rsid w:val="00EE35BE"/>
    <w:rsid w:val="00EE661B"/>
    <w:rsid w:val="00EF043A"/>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68E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02E8"/>
    <w:rsid w:val="00F91153"/>
    <w:rsid w:val="00F93F4D"/>
    <w:rsid w:val="00FA4B87"/>
    <w:rsid w:val="00FA6522"/>
    <w:rsid w:val="00FB178D"/>
    <w:rsid w:val="00FB2AE0"/>
    <w:rsid w:val="00FB2F34"/>
    <w:rsid w:val="00FB4088"/>
    <w:rsid w:val="00FB4264"/>
    <w:rsid w:val="00FB7A43"/>
    <w:rsid w:val="00FC08B8"/>
    <w:rsid w:val="00FC178C"/>
    <w:rsid w:val="00FC1C34"/>
    <w:rsid w:val="00FC4B65"/>
    <w:rsid w:val="00FC5550"/>
    <w:rsid w:val="00FD0EF4"/>
    <w:rsid w:val="00FD4C04"/>
    <w:rsid w:val="00FD636D"/>
    <w:rsid w:val="00FD77E0"/>
    <w:rsid w:val="00FE1638"/>
    <w:rsid w:val="00FE53F1"/>
    <w:rsid w:val="00FF2243"/>
    <w:rsid w:val="0F526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autoRedefine/>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6"/>
    <w:autoRedefine/>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autoRedefine/>
    <w:semiHidden/>
    <w:unhideWhenUsed/>
    <w:qFormat/>
    <w:uiPriority w:val="0"/>
  </w:style>
  <w:style w:type="paragraph" w:styleId="16">
    <w:name w:val="footer"/>
    <w:basedOn w:val="1"/>
    <w:autoRedefine/>
    <w:qFormat/>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autoRedefine/>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autoRedefine/>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autoRedefine/>
    <w:qFormat/>
    <w:uiPriority w:val="0"/>
  </w:style>
  <w:style w:type="character" w:styleId="25">
    <w:name w:val="Hyperlink"/>
    <w:autoRedefine/>
    <w:qFormat/>
    <w:uiPriority w:val="99"/>
    <w:rPr>
      <w:color w:val="0000FF"/>
      <w:u w:val="single"/>
    </w:rPr>
  </w:style>
  <w:style w:type="character" w:customStyle="1" w:styleId="26">
    <w:name w:val="正文文本缩进 字符"/>
    <w:link w:val="13"/>
    <w:autoRedefine/>
    <w:qFormat/>
    <w:uiPriority w:val="0"/>
    <w:rPr>
      <w:rFonts w:ascii="微软雅黑" w:hAnsi="微软雅黑" w:eastAsia="微软雅黑"/>
      <w:kern w:val="2"/>
      <w:sz w:val="24"/>
      <w:szCs w:val="24"/>
    </w:rPr>
  </w:style>
  <w:style w:type="character" w:customStyle="1" w:styleId="27">
    <w:name w:val="正文文本缩进 Char1"/>
    <w:autoRedefine/>
    <w:qFormat/>
    <w:uiPriority w:val="0"/>
    <w:rPr>
      <w:sz w:val="18"/>
      <w:lang w:val="en-GB"/>
    </w:rPr>
  </w:style>
  <w:style w:type="paragraph" w:styleId="28">
    <w:name w:val="List Paragraph"/>
    <w:basedOn w:val="1"/>
    <w:autoRedefine/>
    <w:qFormat/>
    <w:uiPriority w:val="34"/>
    <w:pPr>
      <w:ind w:firstLine="420" w:firstLineChars="200"/>
    </w:pPr>
  </w:style>
  <w:style w:type="character" w:customStyle="1" w:styleId="29">
    <w:name w:val="正文文本缩进 Char"/>
    <w:autoRedefine/>
    <w:qFormat/>
    <w:uiPriority w:val="0"/>
    <w:rPr>
      <w:rFonts w:ascii="微软雅黑" w:hAnsi="微软雅黑" w:eastAsia="微软雅黑"/>
      <w:kern w:val="2"/>
      <w:sz w:val="24"/>
      <w:szCs w:val="24"/>
    </w:rPr>
  </w:style>
  <w:style w:type="character" w:customStyle="1" w:styleId="30">
    <w:name w:val="标题 2 字符"/>
    <w:link w:val="4"/>
    <w:autoRedefine/>
    <w:qFormat/>
    <w:uiPriority w:val="0"/>
    <w:rPr>
      <w:rFonts w:ascii="微软雅黑" w:hAnsi="微软雅黑" w:eastAsia="微软雅黑" w:cs="微软雅黑"/>
      <w:b/>
      <w:bCs/>
      <w:iCs/>
      <w:color w:val="000000"/>
      <w:sz w:val="24"/>
      <w:szCs w:val="24"/>
    </w:rPr>
  </w:style>
  <w:style w:type="character" w:customStyle="1" w:styleId="31">
    <w:name w:val="标题 1 字符"/>
    <w:link w:val="2"/>
    <w:autoRedefine/>
    <w:qFormat/>
    <w:uiPriority w:val="0"/>
    <w:rPr>
      <w:rFonts w:ascii="微软雅黑" w:hAnsi="微软雅黑" w:eastAsia="微软雅黑" w:cs="微软雅黑"/>
      <w:b/>
      <w:bCs/>
      <w:kern w:val="32"/>
      <w:sz w:val="28"/>
      <w:szCs w:val="28"/>
    </w:rPr>
  </w:style>
  <w:style w:type="character" w:customStyle="1" w:styleId="32">
    <w:name w:val="副标题 字符"/>
    <w:basedOn w:val="23"/>
    <w:link w:val="19"/>
    <w:autoRedefine/>
    <w:qFormat/>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autoRedefine/>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autoRedefine/>
    <w:qFormat/>
    <w:uiPriority w:val="0"/>
    <w:rPr>
      <w:sz w:val="24"/>
      <w:szCs w:val="24"/>
      <w:lang w:val="en-GB"/>
    </w:rPr>
  </w:style>
  <w:style w:type="character" w:customStyle="1" w:styleId="36">
    <w:name w:val="批注框文本 字符"/>
    <w:basedOn w:val="23"/>
    <w:link w:val="15"/>
    <w:autoRedefine/>
    <w:semiHidden/>
    <w:qFormat/>
    <w:uiPriority w:val="0"/>
    <w:rPr>
      <w:sz w:val="18"/>
      <w:szCs w:val="18"/>
      <w:lang w:val="en-GB"/>
    </w:rPr>
  </w:style>
  <w:style w:type="character" w:customStyle="1" w:styleId="37">
    <w:name w:val="条文 Char"/>
    <w:link w:val="38"/>
    <w:autoRedefine/>
    <w:qFormat/>
    <w:uiPriority w:val="99"/>
    <w:rPr>
      <w:sz w:val="24"/>
    </w:rPr>
  </w:style>
  <w:style w:type="paragraph" w:customStyle="1" w:styleId="38">
    <w:name w:val="条文"/>
    <w:basedOn w:val="1"/>
    <w:link w:val="37"/>
    <w:autoRedefine/>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autoRedefine/>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autoRedefine/>
    <w:qFormat/>
    <w:locked/>
    <w:uiPriority w:val="0"/>
    <w:rPr>
      <w:rFonts w:cs="宋体"/>
      <w:kern w:val="2"/>
      <w:sz w:val="21"/>
      <w:szCs w:val="18"/>
    </w:rPr>
  </w:style>
  <w:style w:type="character" w:styleId="41">
    <w:name w:val="Placeholder Text"/>
    <w:basedOn w:val="23"/>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02447-682F-4319-9B0F-4D861D92637B}">
  <ds:schemaRefs/>
</ds:datastoreItem>
</file>

<file path=docProps/app.xml><?xml version="1.0" encoding="utf-8"?>
<Properties xmlns="http://schemas.openxmlformats.org/officeDocument/2006/extended-properties" xmlns:vt="http://schemas.openxmlformats.org/officeDocument/2006/docPropsVTypes">
  <Template>tmp2.dotx</Template>
  <Pages>14</Pages>
  <Words>5683</Words>
  <Characters>7106</Characters>
  <Lines>44</Lines>
  <Paragraphs>12</Paragraphs>
  <TotalTime>16</TotalTime>
  <ScaleCrop>false</ScaleCrop>
  <LinksUpToDate>false</LinksUpToDate>
  <CharactersWithSpaces>7552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2024-04-09T06:58:00Z</dcterms:created>
  <dc:creator>不是我，是风</dc:creator>
  <cp:lastModifiedBy>不是我，是风</cp:lastModifiedBy>
  <dcterms:modified xsi:type="dcterms:W3CDTF">2024-04-09T07:14:52Z</dcterms:modified>
  <dc:title>建筑构件隔声设计报告书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13417F1905D7485793A5E518EF14D25E_11</vt:lpwstr>
  </property>
  <property fmtid="{D5CDD505-2E9C-101B-9397-08002B2CF9AE}" pid="3" name="KSOProductBuildVer">
    <vt:lpwstr>2052-12.1.0.16417</vt:lpwstr>
  </property>
</Properties>
</file>