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  <w:bookmarkStart w:id="82" w:name="_GoBack"/>
      <w:bookmarkEnd w:id="82"/>
    </w:p>
    <w:p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059"/>
      <w:bookmarkStart w:id="1" w:name="_Toc480186121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2"/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项目名称"/>
            <w:r>
              <w:t>1#楼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河北-邯郸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r>
              <w:rPr>
                <w:rFonts w:hint="eastAsia" w:ascii="宋体" w:hAnsi="宋体"/>
                <w:szCs w:val="21"/>
              </w:rPr>
              <w:t>JDSJ-23-12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r>
              <w:t>魏县新发地房地产开发有限公司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r>
              <w:t>河北金地工程勘察设计有限责任公司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2024年4月9日</w:t>
            </w:r>
            <w:bookmarkEnd w:id="8"/>
          </w:p>
        </w:tc>
      </w:tr>
    </w:tbl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宋体" w:hAnsi="宋体"/>
              </w:rPr>
            </w:pPr>
            <w:bookmarkStart w:id="10" w:name="软件全称"/>
            <w:r>
              <w:t>斯维尔节能设计Becs2024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20240315(SP1)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T18332553759</w:t>
            </w:r>
            <w:bookmarkEnd w:id="12"/>
          </w:p>
        </w:tc>
      </w:tr>
    </w:tbl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>
      <w:pPr>
        <w:pStyle w:val="17"/>
        <w:tabs>
          <w:tab w:val="left" w:pos="420"/>
          <w:tab w:val="right" w:leader="dot" w:pos="9010"/>
        </w:tabs>
      </w:pPr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7"/>
        <w:tabs>
          <w:tab w:val="right" w:leader="dot" w:pos="9026"/>
        </w:tabs>
      </w:pPr>
      <w:r>
        <w:rPr>
          <w:rFonts w:ascii="宋体" w:hAnsi="宋体"/>
          <w:b w:val="0"/>
          <w:bCs/>
          <w:caps/>
        </w:rPr>
        <w:fldChar w:fldCharType="begin"/>
      </w:r>
      <w:r>
        <w:rPr>
          <w:rFonts w:ascii="宋体" w:hAnsi="宋体"/>
          <w:b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/>
          <w:caps/>
        </w:rPr>
        <w:fldChar w:fldCharType="separate"/>
      </w: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_Toc13121 </w:instrText>
      </w:r>
      <w:r>
        <w:rPr>
          <w:rFonts w:ascii="宋体" w:hAnsi="宋体"/>
          <w:bCs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_Toc13121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_Toc30266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_Toc30266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_Toc21060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_Toc21060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_Toc8695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_Toc8695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_Toc20313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防潮验算</w:t>
      </w:r>
      <w:r>
        <w:t>计算过程</w:t>
      </w:r>
      <w:r>
        <w:tab/>
      </w:r>
      <w:r>
        <w:fldChar w:fldCharType="begin"/>
      </w:r>
      <w:r>
        <w:instrText xml:space="preserve"> PAGEREF _Toc20313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_Toc23023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计算条件</w:t>
      </w:r>
      <w:r>
        <w:tab/>
      </w:r>
      <w:r>
        <w:fldChar w:fldCharType="begin"/>
      </w:r>
      <w:r>
        <w:instrText xml:space="preserve"> PAGEREF _Toc23023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_Toc2413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屋顶构造：加气混凝土、泡沫混凝土250+钢筋砼120砼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_Toc2413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_Toc14055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3.3 </w:t>
      </w:r>
      <w:r>
        <w:rPr>
          <w:rFonts w:hint="eastAsia"/>
          <w:kern w:val="2"/>
        </w:rPr>
        <w:t>外墙（填充墙）构造：自保温蒸压加气混凝土砌块300厚砼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_Toc14055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_Toc15757 </w:instrText>
      </w:r>
      <w:r>
        <w:rPr>
          <w:rFonts w:ascii="宋体" w:hAnsi="宋体"/>
          <w:bCs/>
          <w:caps/>
        </w:rPr>
        <w:fldChar w:fldCharType="separate"/>
      </w:r>
      <w:r>
        <w:t>4 验算结论</w:t>
      </w:r>
      <w:r>
        <w:tab/>
      </w:r>
      <w:r>
        <w:fldChar w:fldCharType="begin"/>
      </w:r>
      <w:r>
        <w:instrText xml:space="preserve"> PAGEREF _Toc15757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  <w:r>
        <w:rPr>
          <w:rFonts w:ascii="宋体" w:hAnsi="宋体"/>
          <w:bCs/>
          <w:caps/>
        </w:rPr>
        <w:fldChar w:fldCharType="end"/>
      </w:r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>
      <w:pPr>
        <w:pStyle w:val="2"/>
        <w:spacing w:line="240" w:lineRule="atLeast"/>
      </w:pPr>
      <w:bookmarkStart w:id="13" w:name="_Toc316568035"/>
      <w:bookmarkStart w:id="14" w:name="_Toc480186060"/>
      <w:bookmarkStart w:id="15" w:name="_Toc480186122"/>
      <w:bookmarkStart w:id="16" w:name="_Toc480218444"/>
      <w:bookmarkStart w:id="17" w:name="_Toc155690474"/>
      <w:bookmarkStart w:id="18" w:name="_Toc13121"/>
      <w:r>
        <w:rPr>
          <w:rFonts w:hint="eastAsia"/>
        </w:rPr>
        <w:t>建筑概况</w:t>
      </w:r>
      <w:bookmarkEnd w:id="13"/>
      <w:bookmarkEnd w:id="14"/>
      <w:bookmarkEnd w:id="15"/>
      <w:bookmarkEnd w:id="16"/>
      <w:bookmarkEnd w:id="17"/>
      <w:bookmarkEnd w:id="18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62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bookmarkStart w:id="19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shd w:val="clear" w:color="auto" w:fill="auto"/>
          </w:tcPr>
          <w:p>
            <w:pPr>
              <w:spacing w:line="240" w:lineRule="atLeast"/>
            </w:pPr>
            <w:bookmarkStart w:id="20" w:name="工程名称"/>
            <w:r>
              <w:t>1#楼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shd w:val="clear" w:color="auto" w:fill="auto"/>
          </w:tcPr>
          <w:p>
            <w:pPr>
              <w:spacing w:line="240" w:lineRule="atLeast"/>
            </w:pPr>
            <w:bookmarkStart w:id="21" w:name="工程地点"/>
            <w:r>
              <w:t>河北-邯郸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shd w:val="clear" w:color="auto" w:fill="auto"/>
          </w:tcPr>
          <w:p>
            <w:pPr>
              <w:spacing w:line="240" w:lineRule="atLeast"/>
            </w:pPr>
            <w:bookmarkStart w:id="22" w:name="气候分区"/>
            <w:r>
              <w:t>寒冷B区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3" w:name="地上建筑面积"/>
            <w:r>
              <w:rPr>
                <w:rFonts w:hint="eastAsia"/>
              </w:rPr>
              <w:t>5174</w:t>
            </w:r>
            <w:bookmarkEnd w:id="23"/>
            <w:r>
              <w:rPr>
                <w:rFonts w:hint="eastAsia"/>
              </w:rPr>
              <w:t>㎡    地下</w:t>
            </w:r>
            <w:bookmarkStart w:id="24" w:name="地下建筑面积"/>
            <w:r>
              <w:rPr>
                <w:rFonts w:hint="eastAsia"/>
              </w:rPr>
              <w:t>0</w:t>
            </w:r>
            <w:bookmarkEnd w:id="24"/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5" w:name="地上建筑层数"/>
            <w:r>
              <w:rPr>
                <w:rFonts w:hint="eastAsia"/>
              </w:rPr>
              <w:t>3</w:t>
            </w:r>
            <w:bookmarkEnd w:id="25"/>
            <w:r>
              <w:rPr>
                <w:rFonts w:hint="eastAsia"/>
              </w:rPr>
              <w:t xml:space="preserve">          地下</w:t>
            </w:r>
            <w:bookmarkStart w:id="26" w:name="地下建筑层数"/>
            <w:r>
              <w:t>0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shd w:val="clear" w:color="auto" w:fill="auto"/>
          </w:tcPr>
          <w:p>
            <w:pPr>
              <w:spacing w:line="240" w:lineRule="atLeast"/>
            </w:pPr>
            <w:bookmarkStart w:id="27" w:name="地上建筑高度"/>
            <w:r>
              <w:rPr>
                <w:rFonts w:hint="eastAsia"/>
              </w:rPr>
              <w:t>16.2</w:t>
            </w:r>
            <w:bookmarkEnd w:id="27"/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shd w:val="clear" w:color="auto" w:fill="auto"/>
          </w:tcPr>
          <w:p>
            <w:pPr>
              <w:spacing w:line="240" w:lineRule="atLeast"/>
            </w:pPr>
            <w:bookmarkStart w:id="28" w:name="结构类型"/>
            <w:bookmarkEnd w:id="28"/>
          </w:p>
        </w:tc>
      </w:tr>
      <w:bookmarkEnd w:id="19"/>
    </w:tbl>
    <w:p>
      <w:pPr>
        <w:rPr>
          <w:b/>
          <w:sz w:val="24"/>
        </w:rPr>
      </w:pPr>
    </w:p>
    <w:p>
      <w:pPr>
        <w:pStyle w:val="2"/>
        <w:spacing w:line="240" w:lineRule="atLeast"/>
      </w:pPr>
      <w:bookmarkStart w:id="29" w:name="_Toc480186123"/>
      <w:bookmarkStart w:id="30" w:name="_Toc480186061"/>
      <w:bookmarkStart w:id="31" w:name="_Toc480218445"/>
      <w:bookmarkStart w:id="32" w:name="_Toc155690475"/>
      <w:bookmarkStart w:id="33" w:name="_Toc316568036"/>
      <w:bookmarkStart w:id="34" w:name="_Toc30266"/>
      <w:bookmarkStart w:id="35" w:name="TitleFormat"/>
      <w:r>
        <w:rPr>
          <w:rFonts w:hint="eastAsia"/>
        </w:rPr>
        <w:t>评价依据</w:t>
      </w:r>
      <w:bookmarkEnd w:id="29"/>
      <w:bookmarkEnd w:id="30"/>
      <w:bookmarkEnd w:id="31"/>
      <w:bookmarkEnd w:id="32"/>
      <w:bookmarkEnd w:id="33"/>
      <w:bookmarkEnd w:id="34"/>
    </w:p>
    <w:bookmarkEnd w:id="35"/>
    <w:p>
      <w:pPr>
        <w:rPr>
          <w:lang w:val="en-GB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《建筑节能与可再生能源利用通用规范》GB55015-2021</w:t>
      </w:r>
      <w:bookmarkEnd w:id="36"/>
    </w:p>
    <w:p>
      <w:r>
        <w:rPr>
          <w:rFonts w:hint="eastAsia"/>
        </w:rPr>
        <w:t>2. 《建筑环境通用规范》GB</w:t>
      </w:r>
      <w:r>
        <w:t xml:space="preserve"> 55016-2021</w:t>
      </w:r>
    </w:p>
    <w:p>
      <w:r>
        <w:rPr>
          <w:rFonts w:hint="eastAsia"/>
        </w:rPr>
        <w:t>3. 《民用建筑热工设计规范》GB50176</w:t>
      </w:r>
      <w:r>
        <w:t>-2016</w:t>
      </w:r>
    </w:p>
    <w:p>
      <w:r>
        <w:t>4</w:t>
      </w:r>
      <w:r>
        <w:rPr>
          <w:rFonts w:hint="eastAsia"/>
        </w:rPr>
        <w:t>.  施工图、设计说明、墙身大样图、节能计算书</w:t>
      </w:r>
    </w:p>
    <w:p>
      <w:pPr>
        <w:pStyle w:val="41"/>
        <w:spacing w:line="240" w:lineRule="atLeast"/>
        <w:ind w:left="420" w:firstLine="0" w:firstLineChars="0"/>
        <w:rPr>
          <w:lang w:val="en-GB"/>
        </w:rPr>
      </w:pPr>
    </w:p>
    <w:p>
      <w:pPr>
        <w:pStyle w:val="4"/>
        <w:spacing w:line="240" w:lineRule="atLeast"/>
        <w:rPr>
          <w:kern w:val="2"/>
        </w:rPr>
      </w:pPr>
      <w:bookmarkStart w:id="37" w:name="_Toc480186062"/>
      <w:bookmarkStart w:id="38" w:name="_Toc480186124"/>
      <w:bookmarkStart w:id="39" w:name="_Toc155690476"/>
      <w:bookmarkStart w:id="40" w:name="_Toc480218446"/>
      <w:bookmarkStart w:id="41" w:name="_Toc21060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  <w:bookmarkEnd w:id="41"/>
    </w:p>
    <w:p>
      <w:pPr>
        <w:pStyle w:val="41"/>
      </w:pPr>
      <w:r>
        <w:t>依据《</w:t>
      </w:r>
      <w:r>
        <w:rPr>
          <w:rFonts w:hint="eastAsia"/>
        </w:rPr>
        <w:t>建筑环境通用规范》GB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>
        <w:rPr>
          <w:b/>
          <w:bCs/>
        </w:rPr>
        <w:t>4.4.3</w:t>
      </w:r>
      <w:r>
        <w:rPr>
          <w:rFonts w:hint="eastAsia"/>
        </w:rPr>
        <w:t>条：供暖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湿度允许增量，应符合要求；</w:t>
      </w:r>
      <w:r>
        <w:t>相应冷凝计算界面内侧最小蒸汽渗透阻应大于按</w:t>
      </w:r>
      <w:r>
        <w:rPr>
          <w:rFonts w:hint="eastAsia"/>
        </w:rPr>
        <w:t>式（3.2-1）计算</w:t>
      </w:r>
      <w:r>
        <w:t>的蒸汽渗透阻</w:t>
      </w:r>
      <w:r>
        <w:rPr>
          <w:rFonts w:hint="eastAsia"/>
        </w:rPr>
        <w:t>。</w:t>
      </w:r>
    </w:p>
    <w:p>
      <w:pPr>
        <w:pStyle w:val="4"/>
        <w:spacing w:line="240" w:lineRule="atLeast"/>
        <w:rPr>
          <w:kern w:val="2"/>
        </w:rPr>
      </w:pPr>
      <w:bookmarkStart w:id="42" w:name="_Toc480218447"/>
      <w:bookmarkStart w:id="43" w:name="_Toc480186063"/>
      <w:bookmarkStart w:id="44" w:name="_Toc480186125"/>
      <w:bookmarkStart w:id="45" w:name="_Toc479931706"/>
      <w:bookmarkStart w:id="46" w:name="_Toc155690477"/>
      <w:bookmarkStart w:id="47" w:name="_Toc8695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  <w:bookmarkEnd w:id="47"/>
    </w:p>
    <w:p>
      <w:pPr>
        <w:pStyle w:val="41"/>
      </w:pPr>
      <w:r>
        <w:rPr>
          <w:rFonts w:hint="eastAsia"/>
        </w:rPr>
        <w:t>根据《建筑环境通用规范》GB</w:t>
      </w:r>
      <w:r>
        <w:t xml:space="preserve"> 55016</w:t>
      </w:r>
      <w:r>
        <w:rPr>
          <w:rFonts w:hint="eastAsia"/>
        </w:rPr>
        <w:t>第</w:t>
      </w:r>
      <w:r>
        <w:t>4.4.3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>
      <w:pPr>
        <w:wordWrap w:val="0"/>
        <w:jc w:val="right"/>
      </w:pPr>
      <w:r>
        <w:rPr>
          <w:position w:val="-54"/>
        </w:rPr>
        <w:object>
          <v:shape id="_x0000_i1025" o:spt="75" type="#_x0000_t75" style="height:43.2pt;width:14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>
      <w:r>
        <w:rPr>
          <w:rFonts w:hint="eastAsia"/>
        </w:rPr>
        <w:t>则推导：</w:t>
      </w:r>
    </w:p>
    <w:p>
      <w:pPr>
        <w:wordWrap w:val="0"/>
        <w:jc w:val="right"/>
      </w:pPr>
      <w:r>
        <w:rPr>
          <w:position w:val="-28"/>
        </w:rPr>
        <w:object>
          <v:shape id="_x0000_i1026" o:spt="75" type="#_x0000_t75" style="height:50.1pt;width:165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>
      <w:r>
        <w:rPr>
          <w:rFonts w:hint="eastAsia"/>
        </w:rPr>
        <w:t>式中：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27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28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2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4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8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8" DrawAspect="Content" ObjectID="_1468075730" r:id="rId19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9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0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0" DrawAspect="Content" ObjectID="_1468075732" r:id="rId2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1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1" DrawAspect="Content" ObjectID="_1468075733" r:id="rId2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2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2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3" DrawAspect="Content" ObjectID="_1468075735" r:id="rId29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4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4" DrawAspect="Content" ObjectID="_1468075736" r:id="rId31">
            <o:LockedField>false</o:LockedField>
          </o:OLEObject>
        </w:objec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5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45" DrawAspect="Content" ObjectID="_1468075737" r:id="rId3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6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6" DrawAspect="Content" ObjectID="_1468075738" r:id="rId3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7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7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8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9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9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0" o:spt="75" type="#_x0000_t75" style="height:21.9pt;width:21.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0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pStyle w:val="2"/>
        <w:spacing w:line="240" w:lineRule="atLeast"/>
      </w:pPr>
      <w:bookmarkStart w:id="48" w:name="_Toc480186126"/>
      <w:bookmarkStart w:id="49" w:name="_Toc155690478"/>
      <w:bookmarkStart w:id="50" w:name="_Toc480218448"/>
      <w:bookmarkStart w:id="51" w:name="_Toc480186064"/>
      <w:bookmarkStart w:id="52" w:name="_Toc20313"/>
      <w:r>
        <w:rPr>
          <w:rFonts w:hint="eastAsia"/>
        </w:rPr>
        <w:t>防潮验算</w:t>
      </w:r>
      <w:r>
        <w:t>计算过程</w:t>
      </w:r>
      <w:bookmarkEnd w:id="48"/>
      <w:bookmarkEnd w:id="49"/>
      <w:bookmarkEnd w:id="50"/>
      <w:bookmarkEnd w:id="51"/>
      <w:bookmarkEnd w:id="52"/>
    </w:p>
    <w:p>
      <w:pPr>
        <w:pStyle w:val="4"/>
        <w:spacing w:line="240" w:lineRule="atLeast"/>
        <w:rPr>
          <w:kern w:val="2"/>
        </w:rPr>
      </w:pPr>
      <w:bookmarkStart w:id="53" w:name="_Toc155690479"/>
      <w:bookmarkStart w:id="54" w:name="_Toc23023"/>
      <w:r>
        <w:rPr>
          <w:rFonts w:hint="eastAsia"/>
          <w:kern w:val="2"/>
        </w:rPr>
        <w:t>计算条件</w:t>
      </w:r>
      <w:bookmarkEnd w:id="53"/>
      <w:bookmarkEnd w:id="54"/>
    </w:p>
    <w:tbl>
      <w:tblPr>
        <w:tblStyle w:val="20"/>
        <w:tblW w:w="932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5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43" r:id="rId4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</w:t>
            </w:r>
            <w:r>
              <w:rPr>
                <w:rFonts w:hint="eastAsia"/>
                <w:sz w:val="15"/>
              </w:rPr>
              <w:t>（㎡*K/W）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℃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5" w:name="t_i_avg"/>
            <w:r>
              <w:rPr>
                <w:rFonts w:hint="eastAsia"/>
              </w:rPr>
              <w:t>18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室内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6" w:name="室内相对湿度"/>
            <w:r>
              <w:rPr>
                <w:rFonts w:hint="eastAsia"/>
              </w:rPr>
              <w:t>60</w:t>
            </w:r>
            <w:bookmarkEnd w:id="56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52" o:spt="75" type="#_x0000_t75" style="height:14.4pt;width:7.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44" r:id="rId47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</w:t>
            </w:r>
            <w:r>
              <w:rPr>
                <w:rFonts w:hint="eastAsia"/>
                <w:sz w:val="15"/>
              </w:rPr>
              <w:t>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7" w:name="t_e_avg"/>
            <w:r>
              <w:rPr>
                <w:rFonts w:hint="eastAsia"/>
              </w:rPr>
              <w:t>1.40</w:t>
            </w:r>
            <w:bookmarkEnd w:id="57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室外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bookmarkStart w:id="58" w:name="室外相对湿度"/>
            <w:r>
              <w:rPr>
                <w:rFonts w:hint="eastAsia"/>
              </w:rPr>
              <w:t>52.00</w:t>
            </w:r>
            <w:bookmarkEnd w:id="58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bookmarkStart w:id="59" w:name="Z"/>
            <w:r>
              <w:rPr>
                <w:rFonts w:hint="eastAsia"/>
              </w:rPr>
              <w:t>93</w:t>
            </w:r>
            <w:bookmarkEnd w:id="59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>
      <w:pPr>
        <w:rPr>
          <w:lang w:val="en-GB"/>
        </w:rPr>
      </w:pPr>
      <w:r>
        <w:rPr>
          <w:rFonts w:hint="eastAsia"/>
        </w:rPr>
        <w:t xml:space="preserve"> </w:t>
      </w:r>
      <w:bookmarkStart w:id="60" w:name="气象数据参考"/>
      <w:r>
        <w:t>注：气象数据参考 河北-邢台.</w:t>
      </w:r>
      <w:r>
        <w:br w:type="textWrapping"/>
      </w:r>
      <w:bookmarkEnd w:id="60"/>
    </w:p>
    <w:p>
      <w:pPr>
        <w:pStyle w:val="3"/>
        <w:ind w:left="0" w:leftChars="0" w:right="1470"/>
      </w:pPr>
    </w:p>
    <w:p>
      <w:pPr>
        <w:pStyle w:val="4"/>
        <w:spacing w:line="240" w:lineRule="atLeast"/>
        <w:rPr>
          <w:kern w:val="2"/>
        </w:rPr>
      </w:pPr>
      <w:bookmarkStart w:id="61" w:name="_Toc2413"/>
      <w:bookmarkStart w:id="62" w:name="构造类型"/>
      <w:bookmarkStart w:id="63" w:name="_Toc155690480"/>
      <w:bookmarkStart w:id="64" w:name="DataTab"/>
      <w:r>
        <w:rPr>
          <w:rFonts w:hint="eastAsia"/>
          <w:kern w:val="2"/>
        </w:rPr>
        <w:t>屋顶构造：</w:t>
      </w:r>
      <w:bookmarkStart w:id="65" w:name="构造ID"/>
      <w:r>
        <w:rPr>
          <w:rFonts w:hint="eastAsia"/>
          <w:kern w:val="2"/>
        </w:rPr>
        <w:t>加气混凝土、泡沫混凝土250+钢筋砼120砼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1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bookmarkStart w:id="66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细石混凝土（双向配筋）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加气混凝土、泡沫混凝土(ρ=700)</w:t>
            </w:r>
          </w:p>
        </w:tc>
        <w:tc>
          <w:tcPr>
            <w:tcW w:w="848" w:type="dxa"/>
            <w:vAlign w:val="center"/>
          </w:tcPr>
          <w:p>
            <w:r>
              <w:t>250</w:t>
            </w:r>
          </w:p>
        </w:tc>
        <w:tc>
          <w:tcPr>
            <w:tcW w:w="1075" w:type="dxa"/>
            <w:vAlign w:val="center"/>
          </w:tcPr>
          <w:p>
            <w:r>
              <w:t>0.080</w:t>
            </w:r>
          </w:p>
        </w:tc>
        <w:tc>
          <w:tcPr>
            <w:tcW w:w="671" w:type="dxa"/>
            <w:vAlign w:val="center"/>
          </w:tcPr>
          <w:p>
            <w:r>
              <w:t>1.35</w:t>
            </w:r>
          </w:p>
        </w:tc>
        <w:tc>
          <w:tcPr>
            <w:tcW w:w="992" w:type="dxa"/>
            <w:vAlign w:val="center"/>
          </w:tcPr>
          <w:p>
            <w:r>
              <w:t>300.00</w:t>
            </w:r>
          </w:p>
        </w:tc>
        <w:tc>
          <w:tcPr>
            <w:tcW w:w="1559" w:type="dxa"/>
            <w:vAlign w:val="center"/>
          </w:tcPr>
          <w:p>
            <w:r>
              <w:t>0.0998</w:t>
            </w:r>
          </w:p>
        </w:tc>
        <w:tc>
          <w:tcPr>
            <w:tcW w:w="993" w:type="dxa"/>
            <w:vAlign w:val="center"/>
          </w:tcPr>
          <w:p>
            <w:r>
              <w:t>2.315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0.069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1700.00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0.023</w:t>
            </w:r>
          </w:p>
        </w:tc>
      </w:tr>
    </w:tbl>
    <w:p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bookmarkStart w:id="67" w:name="构造计算表"/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δ</w:t>
            </w:r>
          </w:p>
          <w:p>
            <w:pPr>
              <w:jc w:val="center"/>
            </w:pPr>
            <w:r>
              <w:rPr>
                <w:rFonts w:hint="eastAsia"/>
              </w:rPr>
              <w:t>厚度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ρ</w:t>
            </w:r>
          </w:p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θi</w:t>
            </w:r>
          </w:p>
          <w:p>
            <w:pPr>
              <w:jc w:val="center"/>
            </w:pPr>
            <w:r>
              <w:rPr>
                <w:rFonts w:hint="eastAsia"/>
              </w:rPr>
              <w:t>温度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Pb</w:t>
            </w:r>
          </w:p>
          <w:p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Ps</w:t>
            </w:r>
          </w:p>
          <w:p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λ</w:t>
            </w:r>
          </w:p>
          <w:p>
            <w:pPr>
              <w:jc w:val="center"/>
            </w:pPr>
            <w:r>
              <w:rPr>
                <w:rFonts w:hint="eastAsia"/>
              </w:rPr>
              <w:t>导热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  <w:p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α</w:t>
            </w:r>
          </w:p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</w:t>
            </w:r>
          </w:p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μ</w:t>
            </w:r>
          </w:p>
          <w:p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</w:t>
            </w:r>
          </w:p>
          <w:p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1.40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675.6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351.3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2.6667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1.67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688.8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351.5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细石混凝土（双向配筋）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1.74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692.4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351.5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1428.57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1.95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702.4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452.8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加气混凝土、泡沫混凝土(ρ=700)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1.35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2.31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0.0998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2505.01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16.59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1886.8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630.5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952.38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16.72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1903.0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698.0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7594.94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17.16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1956.0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1236.6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石灰水泥砂浆（混合砂浆）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0.87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17.30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1974.3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1236.6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7.9808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</w:tbl>
    <w:p>
      <w:pPr>
        <w:pStyle w:val="5"/>
      </w:pPr>
      <w:r>
        <w:rPr>
          <w:rFonts w:hint="eastAsia"/>
        </w:rPr>
        <w:t>冷凝计算界面至围护结构内表面之间的热阻</w:t>
      </w:r>
      <w:r>
        <w:object>
          <v:shape id="_x0000_i105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3" DrawAspect="Content" ObjectID="_1468075745" r:id="rId49">
            <o:LockedField>false</o:LockedField>
          </o:OLEObject>
        </w:object>
      </w:r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54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4" DrawAspect="Content" ObjectID="_1468075746" r:id="rId51">
            <o:LockedField>false</o:LockedField>
          </o:OLEObject>
        </w:object>
      </w:r>
      <w:r>
        <w:rPr>
          <w:b/>
          <w:bCs/>
        </w:rPr>
        <w:t>=</w:t>
      </w:r>
      <w:bookmarkStart w:id="68" w:name="R_o_i"/>
      <w:r>
        <w:rPr>
          <w:rFonts w:hint="eastAsia"/>
        </w:rPr>
        <w:t>2.43</w:t>
      </w:r>
    </w:p>
    <w:p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object>
          <v:shape id="_x0000_i1055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5" DrawAspect="Content" ObjectID="_1468075747" r:id="rId52">
            <o:LockedField>false</o:LockedField>
          </o:OLEObject>
        </w:object>
      </w:r>
    </w:p>
    <w:p>
      <w:pPr>
        <w:jc w:val="center"/>
      </w:pPr>
      <w:r>
        <w:object>
          <v:shape id="_x0000_i1056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6" DrawAspect="Content" ObjectID="_1468075748" r:id="rId54">
            <o:LockedField>false</o:LockedField>
          </o:OLEObject>
        </w:obje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57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7" DrawAspect="Content" ObjectID="_1468075749" r:id="rId56">
            <o:LockedField>false</o:LockedField>
          </o:OLEObject>
        </w:object>
      </w:r>
      <w:r>
        <w:t>=</w:t>
      </w:r>
      <w:bookmarkStart w:id="69" w:name="θ_c"/>
      <w:r>
        <w:rPr>
          <w:rFonts w:hint="eastAsia"/>
        </w:rPr>
        <w:t>1.93</w:t>
      </w:r>
    </w:p>
    <w:p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58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0" r:id="rId5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59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1" r:id="rId58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0" w:name="H_o_i"/>
            <w:r>
              <w:rPr>
                <w:rFonts w:hint="eastAsia"/>
              </w:rPr>
              <w:t>11052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bookmarkStart w:id="71" w:name="H_o_i_l"/>
            <w:r>
              <w:t>337)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object>
                <v:shape id="_x0000_i106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6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2" w:name="H_o_e"/>
            <w:r>
              <w:rPr>
                <w:rFonts w:hint="eastAsia"/>
              </w:rPr>
              <w:t>1428.57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object>
                <v:shape id="_x0000_i107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3" w:name="Pi"/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object>
                <v:shape id="_x0000_i1072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3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4" w:name="Pe"/>
            <w:r>
              <w:rPr>
                <w:rFonts w:hint="eastAsia"/>
              </w:rPr>
              <w:t>351.31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object>
                <v:shape id="_x0000_i107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59" r:id="rId66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76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60" r:id="rId67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5" w:name="Psc"/>
            <w:r>
              <w:rPr>
                <w:rFonts w:hint="eastAsia"/>
              </w:rPr>
              <w:t>701.58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10"/>
              </w:rPr>
              <w:object>
                <v:shape id="_x0000_i1077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61" r:id="rId68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78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62" r:id="rId69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6" w:name="ρ"/>
            <w:r>
              <w:rPr>
                <w:rFonts w:hint="eastAsia"/>
              </w:rPr>
              <w:t>300.00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>
            <w:r>
              <w:rPr>
                <w:position w:val="-6"/>
              </w:rPr>
              <w:object>
                <v:shape id="_x0000_i1079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object>
                <v:shape id="_x0000_i108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7" w:name="δi"/>
            <w:r>
              <w:rPr>
                <w:rFonts w:hint="eastAsia"/>
              </w:rPr>
              <w:t>0.25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28"/>
              </w:rPr>
              <w:object>
                <v:shape id="_x0000_i1081" o:spt="75" type="#_x0000_t75" style="height:43.2pt;width:122.7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82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6" r:id="rId73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8" w:name="ω_l"/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9" w:name="ω"/>
            <w:r>
              <w:rPr>
                <w:rFonts w:hint="eastAsia"/>
              </w:rPr>
              <w:t>4.00</w:t>
            </w:r>
          </w:p>
        </w:tc>
      </w:tr>
    </w:tbl>
    <w:p>
      <w:pPr>
        <w:widowControl/>
        <w:jc w:val="left"/>
      </w:pPr>
    </w:p>
    <w:p>
      <w:pPr>
        <w:pStyle w:val="4"/>
        <w:spacing w:line="240" w:lineRule="atLeast"/>
        <w:rPr>
          <w:kern w:val="2"/>
        </w:rPr>
      </w:pPr>
      <w:bookmarkStart w:id="80" w:name="_Toc14055"/>
      <w:r>
        <w:rPr>
          <w:rFonts w:hint="eastAsia"/>
          <w:kern w:val="2"/>
        </w:rPr>
        <w:t>外墙（填充墙）</w:t>
      </w:r>
      <w:bookmarkEnd w:id="62"/>
      <w:r>
        <w:rPr>
          <w:rFonts w:hint="eastAsia"/>
          <w:kern w:val="2"/>
        </w:rPr>
        <w:t>构造：自保温蒸压加气混凝土砌块300厚砼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3"/>
      <w:bookmarkEnd w:id="65"/>
      <w:bookmarkEnd w:id="80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自保温蒸压加气混凝土砌块</w:t>
            </w:r>
          </w:p>
        </w:tc>
        <w:tc>
          <w:tcPr>
            <w:tcW w:w="848" w:type="dxa"/>
            <w:vAlign w:val="center"/>
          </w:tcPr>
          <w:p>
            <w:r>
              <w:t>300</w:t>
            </w:r>
          </w:p>
        </w:tc>
        <w:tc>
          <w:tcPr>
            <w:tcW w:w="1075" w:type="dxa"/>
            <w:vAlign w:val="center"/>
          </w:tcPr>
          <w:p>
            <w:r>
              <w:t>0.120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488.00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2.500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0.011</w:t>
            </w:r>
          </w:p>
        </w:tc>
      </w:tr>
      <w:bookmarkEnd w:id="66"/>
    </w:tbl>
    <w:p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δ</w:t>
            </w:r>
          </w:p>
          <w:p>
            <w:pPr>
              <w:jc w:val="center"/>
            </w:pPr>
            <w:r>
              <w:rPr>
                <w:rFonts w:hint="eastAsia"/>
              </w:rPr>
              <w:t>厚度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ρ</w:t>
            </w:r>
          </w:p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θi</w:t>
            </w:r>
          </w:p>
          <w:p>
            <w:pPr>
              <w:jc w:val="center"/>
            </w:pPr>
            <w:r>
              <w:rPr>
                <w:rFonts w:hint="eastAsia"/>
              </w:rPr>
              <w:t>温度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Pb</w:t>
            </w:r>
          </w:p>
          <w:p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Ps</w:t>
            </w:r>
          </w:p>
          <w:p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λ</w:t>
            </w:r>
          </w:p>
          <w:p>
            <w:pPr>
              <w:jc w:val="center"/>
            </w:pPr>
            <w:r>
              <w:rPr>
                <w:rFonts w:hint="eastAsia"/>
              </w:rPr>
              <w:t>导热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  <w:p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α</w:t>
            </w:r>
          </w:p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</w:t>
            </w:r>
          </w:p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μ</w:t>
            </w:r>
          </w:p>
          <w:p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</w:t>
            </w:r>
          </w:p>
          <w:p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1.40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675.6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351.3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2.6667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1.64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687.3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353.0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952.38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1.77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693.9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939.2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自保温蒸压加气混凝土砌块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488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2.50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17.25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1967.8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939.2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476.19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17.32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1976.2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1232.3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7.9808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bookmarkEnd w:id="67"/>
    </w:tbl>
    <w:p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08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8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2.51</w:t>
      </w:r>
      <w:bookmarkEnd w:id="68"/>
    </w:p>
    <w:p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08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>
      <w:pPr>
        <w:jc w:val="center"/>
      </w:pPr>
      <w:r>
        <w:pict>
          <v:shape id="_x0000_i108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8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1.78</w:t>
      </w:r>
      <w:bookmarkEnd w:id="69"/>
    </w:p>
    <w:p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8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08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1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476</w:t>
            </w:r>
            <w:bookmarkEnd w:id="70"/>
          </w:p>
        </w:tc>
        <w:tc>
          <w:tcPr>
            <w:tcW w:w="2678" w:type="dxa"/>
            <w:vAlign w:val="center"/>
          </w:tcPr>
          <w:p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182</w:t>
            </w:r>
            <w:bookmarkEnd w:id="71"/>
            <w: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09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09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952.38</w:t>
            </w:r>
            <w:bookmarkEnd w:id="72"/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10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1237.20</w:t>
            </w:r>
            <w:bookmarkEnd w:id="73"/>
          </w:p>
        </w:tc>
        <w:tc>
          <w:tcPr>
            <w:tcW w:w="2678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10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351.31</w:t>
            </w:r>
            <w:bookmarkEnd w:id="74"/>
          </w:p>
        </w:tc>
        <w:tc>
          <w:tcPr>
            <w:tcW w:w="2678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10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0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694.25</w:t>
            </w:r>
            <w:bookmarkEnd w:id="75"/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10"/>
              </w:rPr>
              <w:pict>
                <v:shape id="_x0000_i110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0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488.00</w:t>
            </w:r>
            <w:bookmarkEnd w:id="76"/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>
            <w:r>
              <w:rPr>
                <w:position w:val="-6"/>
              </w:rPr>
              <w:pict>
                <v:shape id="_x0000_i110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pict>
                <v:shape id="_x0000_i111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0.30</w:t>
            </w:r>
            <w:bookmarkEnd w:id="77"/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28"/>
              </w:rPr>
              <w:pict>
                <v:shape id="_x0000_i111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1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1.00</w:t>
            </w:r>
            <w:bookmarkEnd w:id="78"/>
          </w:p>
        </w:tc>
        <w:tc>
          <w:tcPr>
            <w:tcW w:w="2678" w:type="dxa"/>
            <w:vAlign w:val="center"/>
          </w:tcPr>
          <w:p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=4.00</w:t>
            </w:r>
            <w:bookmarkEnd w:id="79"/>
          </w:p>
        </w:tc>
      </w:tr>
    </w:tbl>
    <w:p>
      <w:pPr>
        <w:widowControl/>
        <w:jc w:val="left"/>
      </w:pPr>
    </w:p>
    <w:bookmarkEnd w:id="64"/>
    <w:p>
      <w:pPr>
        <w:pStyle w:val="2"/>
        <w:widowControl/>
        <w:jc w:val="left"/>
      </w:pPr>
      <w:bookmarkStart w:id="81" w:name="_Toc15757"/>
      <w:r>
        <w:t>验算结论</w:t>
      </w:r>
      <w:bookmarkEnd w:id="81"/>
    </w:p>
    <w:tbl>
      <w:tblPr>
        <w:tblStyle w:val="20"/>
        <w:tblW w:w="913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905"/>
        <w:gridCol w:w="707"/>
        <w:gridCol w:w="707"/>
        <w:gridCol w:w="905"/>
        <w:gridCol w:w="905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>
            <w:r>
              <w:t>类型</w:t>
            </w:r>
          </w:p>
        </w:tc>
        <w:tc>
          <w:tcPr>
            <w:shd w:val="clear" w:color="auto" w:fill="DEDEDE"/>
            <w:vAlign w:val="center"/>
          </w:tcPr>
          <w:p>
            <w:r>
              <w:t>构造</w:t>
            </w:r>
          </w:p>
        </w:tc>
        <w:tc>
          <w:tcPr>
            <w:shd w:val="clear" w:color="auto" w:fill="DEDEDE"/>
            <w:vAlign w:val="center"/>
          </w:tcPr>
          <w:p>
            <w:r>
              <w:t>增量</w:t>
            </w:r>
            <w:r>
              <w:br w:type="textWrapping"/>
            </w:r>
            <w:r>
              <w:t>限值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>
            <w:r>
              <w:t>实际</w:t>
            </w:r>
            <w:r>
              <w:br w:type="textWrapping"/>
            </w:r>
            <w:r>
              <w:t>增量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阻限值</w:t>
            </w:r>
          </w:p>
        </w:tc>
        <w:tc>
          <w:tcPr>
            <w:shd w:val="clear" w:color="auto" w:fill="DEDEDE"/>
            <w:vAlign w:val="center"/>
          </w:tcPr>
          <w:p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</w:t>
            </w:r>
          </w:p>
        </w:tc>
        <w:tc>
          <w:tcPr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屋顶</w:t>
            </w:r>
          </w:p>
        </w:tc>
        <w:tc>
          <w:tcPr>
            <w:vAlign w:val="center"/>
          </w:tcPr>
          <w:p>
            <w:r>
              <w:t>加气混凝土、泡沫混凝土250+钢筋砼120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337</w:t>
            </w:r>
          </w:p>
        </w:tc>
        <w:tc>
          <w:tcPr>
            <w:vAlign w:val="center"/>
          </w:tcPr>
          <w:p>
            <w:r>
              <w:t>11052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外墙（填充墙）</w:t>
            </w:r>
          </w:p>
        </w:tc>
        <w:tc>
          <w:tcPr>
            <w:vAlign w:val="center"/>
          </w:tcPr>
          <w:p>
            <w:r>
              <w:t>自保温蒸压加气混凝土砌块300厚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182</w:t>
            </w:r>
          </w:p>
        </w:tc>
        <w:tc>
          <w:tcPr>
            <w:vAlign w:val="center"/>
          </w:tcPr>
          <w:p>
            <w:r>
              <w:t>476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both"/>
    </w:pPr>
    <w: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kN2I1ZDNiYWI0MGMzN2Y3OWUwMWNlZDA2NjMwYjYifQ=="/>
  </w:docVars>
  <w:rsids>
    <w:rsidRoot w:val="7B1A2787"/>
    <w:rsid w:val="00004A0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825D7"/>
    <w:rsid w:val="00090856"/>
    <w:rsid w:val="00091778"/>
    <w:rsid w:val="00096723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15D7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305BF"/>
    <w:rsid w:val="001312DA"/>
    <w:rsid w:val="001577F0"/>
    <w:rsid w:val="001611A7"/>
    <w:rsid w:val="00161D2D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A53FC"/>
    <w:rsid w:val="001B6C9B"/>
    <w:rsid w:val="001B7877"/>
    <w:rsid w:val="001C00E7"/>
    <w:rsid w:val="001C5A7B"/>
    <w:rsid w:val="001E35A7"/>
    <w:rsid w:val="001E4004"/>
    <w:rsid w:val="001F3390"/>
    <w:rsid w:val="001F4F6C"/>
    <w:rsid w:val="00231194"/>
    <w:rsid w:val="0024070B"/>
    <w:rsid w:val="00240EC2"/>
    <w:rsid w:val="0024341C"/>
    <w:rsid w:val="0027727F"/>
    <w:rsid w:val="00282DF5"/>
    <w:rsid w:val="002A5E42"/>
    <w:rsid w:val="002B2C77"/>
    <w:rsid w:val="002B5E55"/>
    <w:rsid w:val="002B76E4"/>
    <w:rsid w:val="002D6B2F"/>
    <w:rsid w:val="002E1B9B"/>
    <w:rsid w:val="00305713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863C9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13B57"/>
    <w:rsid w:val="004300F4"/>
    <w:rsid w:val="00430148"/>
    <w:rsid w:val="00431405"/>
    <w:rsid w:val="00447C20"/>
    <w:rsid w:val="00452E2F"/>
    <w:rsid w:val="004556B3"/>
    <w:rsid w:val="00464AC4"/>
    <w:rsid w:val="00467230"/>
    <w:rsid w:val="00473A65"/>
    <w:rsid w:val="0049117E"/>
    <w:rsid w:val="00491C89"/>
    <w:rsid w:val="00495EFD"/>
    <w:rsid w:val="004A676E"/>
    <w:rsid w:val="004B1BD3"/>
    <w:rsid w:val="004B23B8"/>
    <w:rsid w:val="004B2B00"/>
    <w:rsid w:val="004B497C"/>
    <w:rsid w:val="004B5CEB"/>
    <w:rsid w:val="004B6F02"/>
    <w:rsid w:val="004C2C08"/>
    <w:rsid w:val="004C416D"/>
    <w:rsid w:val="004C772F"/>
    <w:rsid w:val="004C7C6B"/>
    <w:rsid w:val="004D29C2"/>
    <w:rsid w:val="004E31C9"/>
    <w:rsid w:val="004E53B8"/>
    <w:rsid w:val="004F6346"/>
    <w:rsid w:val="004F6757"/>
    <w:rsid w:val="005012CD"/>
    <w:rsid w:val="00504D39"/>
    <w:rsid w:val="0050552D"/>
    <w:rsid w:val="0051061F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735"/>
    <w:rsid w:val="00567B03"/>
    <w:rsid w:val="005734B3"/>
    <w:rsid w:val="00574037"/>
    <w:rsid w:val="00577BE5"/>
    <w:rsid w:val="005A30A0"/>
    <w:rsid w:val="005A4C09"/>
    <w:rsid w:val="005A6A34"/>
    <w:rsid w:val="005B01B5"/>
    <w:rsid w:val="005B73FD"/>
    <w:rsid w:val="005E215F"/>
    <w:rsid w:val="005F1AD2"/>
    <w:rsid w:val="005F7393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0617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6F4E1F"/>
    <w:rsid w:val="00704D73"/>
    <w:rsid w:val="00707167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62221"/>
    <w:rsid w:val="00873755"/>
    <w:rsid w:val="00894904"/>
    <w:rsid w:val="0089552D"/>
    <w:rsid w:val="008A2EC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077BF"/>
    <w:rsid w:val="00A277B5"/>
    <w:rsid w:val="00A32761"/>
    <w:rsid w:val="00A351F6"/>
    <w:rsid w:val="00A430C8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38D6"/>
    <w:rsid w:val="00B970F9"/>
    <w:rsid w:val="00BA0784"/>
    <w:rsid w:val="00BA0B17"/>
    <w:rsid w:val="00BA56E7"/>
    <w:rsid w:val="00BB30AE"/>
    <w:rsid w:val="00BC7076"/>
    <w:rsid w:val="00BC7A1F"/>
    <w:rsid w:val="00BD0D2A"/>
    <w:rsid w:val="00BD1E3C"/>
    <w:rsid w:val="00BD2E6F"/>
    <w:rsid w:val="00BE12D4"/>
    <w:rsid w:val="00BE2D61"/>
    <w:rsid w:val="00BE7427"/>
    <w:rsid w:val="00BF59AD"/>
    <w:rsid w:val="00C011AF"/>
    <w:rsid w:val="00C026F3"/>
    <w:rsid w:val="00C054D0"/>
    <w:rsid w:val="00C10401"/>
    <w:rsid w:val="00C14B81"/>
    <w:rsid w:val="00C20461"/>
    <w:rsid w:val="00C3405A"/>
    <w:rsid w:val="00C34844"/>
    <w:rsid w:val="00C36178"/>
    <w:rsid w:val="00C60674"/>
    <w:rsid w:val="00C60D5D"/>
    <w:rsid w:val="00C66112"/>
    <w:rsid w:val="00C71707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49EB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77A06"/>
    <w:rsid w:val="00D801D5"/>
    <w:rsid w:val="00D92904"/>
    <w:rsid w:val="00D92A2B"/>
    <w:rsid w:val="00DA48B1"/>
    <w:rsid w:val="00DA7566"/>
    <w:rsid w:val="00DC0007"/>
    <w:rsid w:val="00DC2299"/>
    <w:rsid w:val="00DC409F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2CCF"/>
    <w:rsid w:val="00E43223"/>
    <w:rsid w:val="00E461BA"/>
    <w:rsid w:val="00E47CA8"/>
    <w:rsid w:val="00E550E9"/>
    <w:rsid w:val="00E62CAB"/>
    <w:rsid w:val="00E631B6"/>
    <w:rsid w:val="00E70F18"/>
    <w:rsid w:val="00E737A7"/>
    <w:rsid w:val="00E94DAA"/>
    <w:rsid w:val="00EA1AAF"/>
    <w:rsid w:val="00EA2DCF"/>
    <w:rsid w:val="00EA5041"/>
    <w:rsid w:val="00EA67B5"/>
    <w:rsid w:val="00EB1894"/>
    <w:rsid w:val="00EB4739"/>
    <w:rsid w:val="00EB73E7"/>
    <w:rsid w:val="00EC0097"/>
    <w:rsid w:val="00EC091B"/>
    <w:rsid w:val="00EC59E1"/>
    <w:rsid w:val="00EE1B15"/>
    <w:rsid w:val="00EF3F30"/>
    <w:rsid w:val="00F0466A"/>
    <w:rsid w:val="00F07122"/>
    <w:rsid w:val="00F11D8A"/>
    <w:rsid w:val="00F206C5"/>
    <w:rsid w:val="00F2136F"/>
    <w:rsid w:val="00F2650F"/>
    <w:rsid w:val="00F32A1B"/>
    <w:rsid w:val="00F3652C"/>
    <w:rsid w:val="00F40508"/>
    <w:rsid w:val="00F50F81"/>
    <w:rsid w:val="00F52375"/>
    <w:rsid w:val="00F54048"/>
    <w:rsid w:val="00F579EF"/>
    <w:rsid w:val="00F645AA"/>
    <w:rsid w:val="00F661F1"/>
    <w:rsid w:val="00F80BF0"/>
    <w:rsid w:val="00F9357F"/>
    <w:rsid w:val="00F94530"/>
    <w:rsid w:val="00F94640"/>
    <w:rsid w:val="00F94707"/>
    <w:rsid w:val="00F951D3"/>
    <w:rsid w:val="00FA4E1E"/>
    <w:rsid w:val="00FB2E10"/>
    <w:rsid w:val="00FB4EEB"/>
    <w:rsid w:val="00FB5A80"/>
    <w:rsid w:val="00FC25B1"/>
    <w:rsid w:val="00FC29E3"/>
    <w:rsid w:val="00FC41F8"/>
    <w:rsid w:val="00FE2B54"/>
    <w:rsid w:val="00FE48A4"/>
    <w:rsid w:val="00FF4C4F"/>
    <w:rsid w:val="00FF517B"/>
    <w:rsid w:val="00FF5295"/>
    <w:rsid w:val="00FF6537"/>
    <w:rsid w:val="7B1A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ind w:left="840" w:leftChars="400"/>
    </w:pPr>
  </w:style>
  <w:style w:type="paragraph" w:styleId="14">
    <w:name w:val="Balloon Text"/>
    <w:basedOn w:val="1"/>
    <w:link w:val="42"/>
    <w:uiPriority w:val="0"/>
    <w:rPr>
      <w:sz w:val="18"/>
      <w:szCs w:val="18"/>
    </w:rPr>
  </w:style>
  <w:style w:type="paragraph" w:styleId="15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uiPriority w:val="39"/>
    <w:rPr>
      <w:b/>
    </w:rPr>
  </w:style>
  <w:style w:type="paragraph" w:styleId="18">
    <w:name w:val="toc 2"/>
    <w:basedOn w:val="1"/>
    <w:next w:val="1"/>
    <w:autoRedefine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uiPriority w:val="0"/>
  </w:style>
  <w:style w:type="character" w:styleId="24">
    <w:name w:val="Hyperlink"/>
    <w:unhideWhenUsed/>
    <w:uiPriority w:val="99"/>
    <w:rPr>
      <w:color w:val="0563C1"/>
      <w:u w:val="single"/>
    </w:rPr>
  </w:style>
  <w:style w:type="character" w:customStyle="1" w:styleId="25">
    <w:name w:val="页眉 Char"/>
    <w:link w:val="16"/>
    <w:uiPriority w:val="0"/>
    <w:rPr>
      <w:kern w:val="2"/>
      <w:sz w:val="18"/>
      <w:szCs w:val="18"/>
    </w:rPr>
  </w:style>
  <w:style w:type="character" w:customStyle="1" w:styleId="26">
    <w:name w:val="页脚 Char"/>
    <w:link w:val="15"/>
    <w:uiPriority w:val="99"/>
    <w:rPr>
      <w:kern w:val="2"/>
      <w:sz w:val="18"/>
      <w:szCs w:val="18"/>
    </w:rPr>
  </w:style>
  <w:style w:type="character" w:customStyle="1" w:styleId="27">
    <w:name w:val="页眉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Char"/>
    <w:link w:val="19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uiPriority w:val="0"/>
    <w:rPr>
      <w:b/>
      <w:bCs/>
      <w:kern w:val="44"/>
      <w:sz w:val="44"/>
      <w:szCs w:val="44"/>
    </w:rPr>
  </w:style>
  <w:style w:type="character" w:customStyle="1" w:styleId="31">
    <w:name w:val="标题 2 Char"/>
    <w:link w:val="4"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Char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Char"/>
    <w:link w:val="6"/>
    <w:uiPriority w:val="0"/>
    <w:rPr>
      <w:b/>
      <w:bCs/>
      <w:sz w:val="21"/>
      <w:szCs w:val="28"/>
      <w:lang w:val="en-GB"/>
    </w:rPr>
  </w:style>
  <w:style w:type="character" w:customStyle="1" w:styleId="34">
    <w:name w:val="标题 5 Char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Char"/>
    <w:link w:val="8"/>
    <w:uiPriority w:val="0"/>
    <w:rPr>
      <w:b/>
      <w:bCs/>
      <w:sz w:val="21"/>
      <w:szCs w:val="22"/>
      <w:lang w:val="en-GB"/>
    </w:rPr>
  </w:style>
  <w:style w:type="character" w:customStyle="1" w:styleId="36">
    <w:name w:val="标题 7 Char"/>
    <w:link w:val="9"/>
    <w:uiPriority w:val="0"/>
    <w:rPr>
      <w:sz w:val="24"/>
      <w:szCs w:val="24"/>
      <w:lang w:val="en-GB"/>
    </w:rPr>
  </w:style>
  <w:style w:type="character" w:customStyle="1" w:styleId="37">
    <w:name w:val="标题 8 Char"/>
    <w:link w:val="10"/>
    <w:uiPriority w:val="0"/>
    <w:rPr>
      <w:i/>
      <w:iCs/>
      <w:sz w:val="24"/>
      <w:szCs w:val="24"/>
      <w:lang w:val="en-GB"/>
    </w:rPr>
  </w:style>
  <w:style w:type="character" w:customStyle="1" w:styleId="38">
    <w:name w:val="标题 9 Char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Char1"/>
    <w:link w:val="2"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Char"/>
    <w:link w:val="14"/>
    <w:uiPriority w:val="0"/>
    <w:rPr>
      <w:kern w:val="2"/>
      <w:sz w:val="18"/>
      <w:szCs w:val="18"/>
    </w:rPr>
  </w:style>
  <w:style w:type="character" w:styleId="43">
    <w:name w:val="Placeholder Text"/>
    <w:semiHidden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6" Type="http://schemas.openxmlformats.org/officeDocument/2006/relationships/fontTable" Target="fontTable.xml"/><Relationship Id="rId75" Type="http://schemas.openxmlformats.org/officeDocument/2006/relationships/customXml" Target="../customXml/item1.xml"/><Relationship Id="rId74" Type="http://schemas.openxmlformats.org/officeDocument/2006/relationships/numbering" Target="numbering.xml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bmp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oleObject" Target="embeddings/oleObject26.bin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9.wmf"/><Relationship Id="rId17" Type="http://schemas.openxmlformats.org/officeDocument/2006/relationships/oleObject" Target="embeddings/oleObject5.bin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D787-1966-458C-94AB-96A395EAF9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Pages>8</Pages>
  <Words>2412</Words>
  <Characters>3789</Characters>
  <Lines>33</Lines>
  <Paragraphs>9</Paragraphs>
  <TotalTime>0</TotalTime>
  <ScaleCrop>false</ScaleCrop>
  <LinksUpToDate>false</LinksUpToDate>
  <CharactersWithSpaces>3940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2024-04-09T07:43:00Z</dcterms:created>
  <dc:creator>不是我，是风</dc:creator>
  <cp:lastModifiedBy>不是我，是风</cp:lastModifiedBy>
  <dcterms:modified xsi:type="dcterms:W3CDTF">2024-04-09T07:43:59Z</dcterms:modified>
  <dc:title>防潮验算计算书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9AC1AFC45C594C7AA855E7FA4F665221_11</vt:lpwstr>
  </property>
  <property fmtid="{D5CDD505-2E9C-101B-9397-08002B2CF9AE}" pid="4" name="KSOProductBuildVer">
    <vt:lpwstr>2052-12.1.0.16417</vt:lpwstr>
  </property>
</Properties>
</file>