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bookmarkStart w:id="77" w:name="_GoBack"/>
      <w:bookmarkEnd w:id="77"/>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办公建筑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1#楼</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r>
              <w:rPr>
                <w:rFonts w:hint="eastAsia"/>
              </w:rPr>
              <w:t>JDSJ-23-12</w:t>
            </w:r>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r>
              <w:rPr>
                <w:rFonts w:hint="eastAsia"/>
              </w:rPr>
              <w:t>魏县新发地房地产开发有限公司</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r>
              <w:rPr>
                <w:rFonts w:hint="eastAsia"/>
              </w:rPr>
              <w:t>河北金地工程勘察设计有限责任公司</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2024年4月9日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20240315(SP1)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T18332553759</w:t>
            </w:r>
            <w:bookmarkEnd w:id="9"/>
          </w:p>
        </w:tc>
      </w:tr>
    </w:tbl>
    <w:p>
      <w:pPr>
        <w:spacing w:line="1000" w:lineRule="exact"/>
        <w:jc w:val="center"/>
        <w:rPr>
          <w:rStyle w:val="34"/>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_Toc4271 </w:instrText>
      </w:r>
      <w:r>
        <w:rPr>
          <w:rFonts w:ascii="宋体" w:hAnsi="宋体"/>
          <w:caps/>
        </w:rPr>
        <w:fldChar w:fldCharType="separate"/>
      </w:r>
      <w:r>
        <w:t xml:space="preserve">1 </w:t>
      </w:r>
      <w:r>
        <w:rPr>
          <w:rFonts w:hint="eastAsia"/>
        </w:rPr>
        <w:t>建筑概况</w:t>
      </w:r>
      <w:r>
        <w:tab/>
      </w:r>
      <w:r>
        <w:fldChar w:fldCharType="begin"/>
      </w:r>
      <w:r>
        <w:instrText xml:space="preserve"> PAGEREF _Toc4271 \h </w:instrText>
      </w:r>
      <w:r>
        <w:fldChar w:fldCharType="separate"/>
      </w:r>
      <w:r>
        <w:t>1</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_Toc69 </w:instrText>
      </w:r>
      <w:r>
        <w:fldChar w:fldCharType="separate"/>
      </w:r>
      <w:r>
        <w:t xml:space="preserve">2 </w:t>
      </w:r>
      <w:r>
        <w:rPr>
          <w:rFonts w:hint="eastAsia"/>
        </w:rPr>
        <w:t>评价依据</w:t>
      </w:r>
      <w:r>
        <w:tab/>
      </w:r>
      <w:r>
        <w:fldChar w:fldCharType="begin"/>
      </w:r>
      <w:r>
        <w:instrText xml:space="preserve"> PAGEREF _Toc69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_Toc7491 </w:instrText>
      </w:r>
      <w:r>
        <w:fldChar w:fldCharType="separate"/>
      </w:r>
      <w:r>
        <w:t xml:space="preserve">3 </w:t>
      </w:r>
      <w:r>
        <w:rPr>
          <w:rFonts w:hint="eastAsia"/>
        </w:rPr>
        <w:t>标准</w:t>
      </w:r>
      <w:r>
        <w:t>要求</w:t>
      </w:r>
      <w:r>
        <w:tab/>
      </w:r>
      <w:r>
        <w:fldChar w:fldCharType="begin"/>
      </w:r>
      <w:r>
        <w:instrText xml:space="preserve"> PAGEREF _Toc7491 \h </w:instrText>
      </w:r>
      <w:r>
        <w:fldChar w:fldCharType="separate"/>
      </w:r>
      <w:r>
        <w:t>1</w:t>
      </w:r>
      <w:r>
        <w:fldChar w:fldCharType="end"/>
      </w:r>
      <w:r>
        <w:fldChar w:fldCharType="end"/>
      </w:r>
    </w:p>
    <w:p>
      <w:pPr>
        <w:pStyle w:val="18"/>
        <w:tabs>
          <w:tab w:val="right" w:leader="dot" w:pos="9070"/>
          <w:tab w:val="clear" w:pos="180"/>
          <w:tab w:val="clear" w:pos="9360"/>
        </w:tabs>
      </w:pPr>
      <w:r>
        <w:fldChar w:fldCharType="begin"/>
      </w:r>
      <w:r>
        <w:instrText xml:space="preserve"> HYPERLINK \l _Toc5435 </w:instrText>
      </w:r>
      <w:r>
        <w:fldChar w:fldCharType="separate"/>
      </w:r>
      <w:r>
        <w:rPr>
          <w:kern w:val="2"/>
        </w:rPr>
        <w:t xml:space="preserve">4 </w:t>
      </w:r>
      <w:r>
        <w:rPr>
          <w:rFonts w:hint="eastAsia"/>
          <w:kern w:val="2"/>
        </w:rPr>
        <w:t>计算原理</w:t>
      </w:r>
      <w:r>
        <w:tab/>
      </w:r>
      <w:r>
        <w:fldChar w:fldCharType="begin"/>
      </w:r>
      <w:r>
        <w:instrText xml:space="preserve"> PAGEREF _Toc5435 \h </w:instrText>
      </w:r>
      <w:r>
        <w:fldChar w:fldCharType="separate"/>
      </w:r>
      <w:r>
        <w:t>1</w:t>
      </w:r>
      <w:r>
        <w:fldChar w:fldCharType="end"/>
      </w:r>
      <w:r>
        <w:fldChar w:fldCharType="end"/>
      </w:r>
    </w:p>
    <w:p>
      <w:pPr>
        <w:pStyle w:val="19"/>
        <w:tabs>
          <w:tab w:val="right" w:leader="dot" w:pos="9070"/>
          <w:tab w:val="clear" w:pos="540"/>
          <w:tab w:val="clear" w:pos="9360"/>
        </w:tabs>
      </w:pPr>
      <w:r>
        <w:fldChar w:fldCharType="begin"/>
      </w:r>
      <w:r>
        <w:instrText xml:space="preserve"> HYPERLINK \l _Toc18920 </w:instrText>
      </w:r>
      <w:r>
        <w:fldChar w:fldCharType="separate"/>
      </w:r>
      <w:r>
        <w:t xml:space="preserve">4.1 </w:t>
      </w:r>
      <w:r>
        <w:rPr>
          <w:rFonts w:hint="eastAsia"/>
        </w:rPr>
        <w:t>典型</w:t>
      </w:r>
      <w:r>
        <w:t>房间确定</w:t>
      </w:r>
      <w:r>
        <w:tab/>
      </w:r>
      <w:r>
        <w:fldChar w:fldCharType="begin"/>
      </w:r>
      <w:r>
        <w:instrText xml:space="preserve"> PAGEREF _Toc18920 \h </w:instrText>
      </w:r>
      <w:r>
        <w:fldChar w:fldCharType="separate"/>
      </w:r>
      <w:r>
        <w:t>1</w:t>
      </w:r>
      <w:r>
        <w:fldChar w:fldCharType="end"/>
      </w:r>
      <w:r>
        <w:fldChar w:fldCharType="end"/>
      </w:r>
    </w:p>
    <w:p>
      <w:pPr>
        <w:pStyle w:val="19"/>
        <w:tabs>
          <w:tab w:val="right" w:leader="dot" w:pos="9070"/>
          <w:tab w:val="clear" w:pos="540"/>
          <w:tab w:val="clear" w:pos="9360"/>
        </w:tabs>
      </w:pPr>
      <w:r>
        <w:fldChar w:fldCharType="begin"/>
      </w:r>
      <w:r>
        <w:instrText xml:space="preserve"> HYPERLINK \l _Toc31185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_Toc31185 \h </w:instrText>
      </w:r>
      <w:r>
        <w:fldChar w:fldCharType="separate"/>
      </w:r>
      <w:r>
        <w:t>2</w:t>
      </w:r>
      <w:r>
        <w:fldChar w:fldCharType="end"/>
      </w:r>
      <w:r>
        <w:fldChar w:fldCharType="end"/>
      </w:r>
    </w:p>
    <w:p>
      <w:pPr>
        <w:pStyle w:val="18"/>
        <w:tabs>
          <w:tab w:val="right" w:leader="dot" w:pos="9070"/>
          <w:tab w:val="clear" w:pos="180"/>
          <w:tab w:val="clear" w:pos="9360"/>
        </w:tabs>
      </w:pPr>
      <w:r>
        <w:fldChar w:fldCharType="begin"/>
      </w:r>
      <w:r>
        <w:instrText xml:space="preserve"> HYPERLINK \l _Toc21815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_Toc21815 \h </w:instrText>
      </w:r>
      <w:r>
        <w:fldChar w:fldCharType="separate"/>
      </w:r>
      <w:r>
        <w:t>2</w:t>
      </w:r>
      <w:r>
        <w:fldChar w:fldCharType="end"/>
      </w:r>
      <w:r>
        <w:fldChar w:fldCharType="end"/>
      </w:r>
    </w:p>
    <w:p>
      <w:pPr>
        <w:pStyle w:val="19"/>
        <w:tabs>
          <w:tab w:val="right" w:leader="dot" w:pos="9070"/>
          <w:tab w:val="clear" w:pos="540"/>
          <w:tab w:val="clear" w:pos="9360"/>
        </w:tabs>
      </w:pPr>
      <w:r>
        <w:fldChar w:fldCharType="begin"/>
      </w:r>
      <w:r>
        <w:instrText xml:space="preserve"> HYPERLINK \l _Toc17113 </w:instrText>
      </w:r>
      <w:r>
        <w:fldChar w:fldCharType="separate"/>
      </w:r>
      <w:r>
        <w:t xml:space="preserve">5.1 </w:t>
      </w:r>
      <w:r>
        <w:rPr>
          <w:rFonts w:hint="eastAsia"/>
        </w:rPr>
        <w:t>室外</w:t>
      </w:r>
      <w:r>
        <w:t>边界噪声</w:t>
      </w:r>
      <w:r>
        <w:tab/>
      </w:r>
      <w:r>
        <w:fldChar w:fldCharType="begin"/>
      </w:r>
      <w:r>
        <w:instrText xml:space="preserve"> PAGEREF _Toc17113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_Toc30436 </w:instrText>
      </w:r>
      <w:r>
        <w:fldChar w:fldCharType="separate"/>
      </w:r>
      <w:r>
        <w:t>5.2 构件空气声隔声</w:t>
      </w:r>
      <w:r>
        <w:tab/>
      </w:r>
      <w:r>
        <w:fldChar w:fldCharType="begin"/>
      </w:r>
      <w:r>
        <w:instrText xml:space="preserve"> PAGEREF _Toc30436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_Toc11932 </w:instrText>
      </w:r>
      <w:r>
        <w:fldChar w:fldCharType="separate"/>
      </w:r>
      <w:r>
        <w:t xml:space="preserve">5.3 </w:t>
      </w:r>
      <w:r>
        <w:rPr>
          <w:rFonts w:hint="eastAsia"/>
        </w:rPr>
        <w:t>房间</w:t>
      </w:r>
      <w:r>
        <w:t>总吸声量计算</w:t>
      </w:r>
      <w:r>
        <w:tab/>
      </w:r>
      <w:r>
        <w:fldChar w:fldCharType="begin"/>
      </w:r>
      <w:r>
        <w:instrText xml:space="preserve"> PAGEREF _Toc11932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_Toc27613 </w:instrText>
      </w:r>
      <w:r>
        <w:fldChar w:fldCharType="separate"/>
      </w:r>
      <w:r>
        <w:t xml:space="preserve">5.4 </w:t>
      </w:r>
      <w:r>
        <w:rPr>
          <w:rFonts w:hint="eastAsia"/>
        </w:rPr>
        <w:t>组合墙</w:t>
      </w:r>
      <w:r>
        <w:t>空气声隔声量计算</w:t>
      </w:r>
      <w:r>
        <w:tab/>
      </w:r>
      <w:r>
        <w:fldChar w:fldCharType="begin"/>
      </w:r>
      <w:r>
        <w:instrText xml:space="preserve"> PAGEREF _Toc27613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_Toc9996 </w:instrText>
      </w:r>
      <w:r>
        <w:fldChar w:fldCharType="separate"/>
      </w:r>
      <w:r>
        <w:t xml:space="preserve">5.4.1 </w:t>
      </w:r>
      <w:r>
        <w:rPr>
          <w:rFonts w:hint="eastAsia"/>
        </w:rPr>
        <w:t>组合墙</w:t>
      </w:r>
      <w:r>
        <w:t>有效隔声量</w:t>
      </w:r>
      <w:r>
        <w:tab/>
      </w:r>
      <w:r>
        <w:fldChar w:fldCharType="begin"/>
      </w:r>
      <w:r>
        <w:instrText xml:space="preserve"> PAGEREF _Toc9996 \h </w:instrText>
      </w:r>
      <w:r>
        <w:fldChar w:fldCharType="separate"/>
      </w:r>
      <w:r>
        <w:t>5</w:t>
      </w:r>
      <w:r>
        <w:fldChar w:fldCharType="end"/>
      </w:r>
      <w:r>
        <w:fldChar w:fldCharType="end"/>
      </w:r>
    </w:p>
    <w:p>
      <w:pPr>
        <w:pStyle w:val="14"/>
        <w:tabs>
          <w:tab w:val="right" w:leader="dot" w:pos="9070"/>
          <w:tab w:val="clear" w:pos="900"/>
          <w:tab w:val="clear" w:pos="9360"/>
        </w:tabs>
      </w:pPr>
      <w:r>
        <w:fldChar w:fldCharType="begin"/>
      </w:r>
      <w:r>
        <w:instrText xml:space="preserve"> HYPERLINK \l _Toc31770 </w:instrText>
      </w:r>
      <w:r>
        <w:fldChar w:fldCharType="separate"/>
      </w:r>
      <w:r>
        <w:t xml:space="preserve">5.4.2 </w:t>
      </w:r>
      <w:r>
        <w:rPr>
          <w:rFonts w:hint="eastAsia"/>
        </w:rPr>
        <w:t>组合墙</w:t>
      </w:r>
      <w:r>
        <w:t>隔声单值评价量、频谱修正量</w:t>
      </w:r>
      <w:r>
        <w:tab/>
      </w:r>
      <w:r>
        <w:fldChar w:fldCharType="begin"/>
      </w:r>
      <w:r>
        <w:instrText xml:space="preserve"> PAGEREF _Toc31770 \h </w:instrText>
      </w:r>
      <w:r>
        <w:fldChar w:fldCharType="separate"/>
      </w:r>
      <w:r>
        <w:t>6</w:t>
      </w:r>
      <w:r>
        <w:fldChar w:fldCharType="end"/>
      </w:r>
      <w:r>
        <w:fldChar w:fldCharType="end"/>
      </w:r>
    </w:p>
    <w:p>
      <w:pPr>
        <w:pStyle w:val="14"/>
        <w:tabs>
          <w:tab w:val="right" w:leader="dot" w:pos="9070"/>
          <w:tab w:val="clear" w:pos="900"/>
          <w:tab w:val="clear" w:pos="9360"/>
        </w:tabs>
      </w:pPr>
      <w:r>
        <w:fldChar w:fldCharType="begin"/>
      </w:r>
      <w:r>
        <w:instrText xml:space="preserve"> HYPERLINK \l _Toc2764 </w:instrText>
      </w:r>
      <w:r>
        <w:fldChar w:fldCharType="separate"/>
      </w:r>
      <w:r>
        <w:t xml:space="preserve">5.4.3 </w:t>
      </w:r>
      <w:r>
        <w:rPr>
          <w:rFonts w:hint="eastAsia"/>
        </w:rPr>
        <w:t>缝隙对组合墙隔声量的影响</w:t>
      </w:r>
      <w:r>
        <w:tab/>
      </w:r>
      <w:r>
        <w:fldChar w:fldCharType="begin"/>
      </w:r>
      <w:r>
        <w:instrText xml:space="preserve"> PAGEREF _Toc2764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_Toc4120 </w:instrText>
      </w:r>
      <w:r>
        <w:fldChar w:fldCharType="separate"/>
      </w:r>
      <w:r>
        <w:t xml:space="preserve">5.4.4 </w:t>
      </w:r>
      <w:r>
        <w:rPr>
          <w:rFonts w:hint="eastAsia"/>
        </w:rPr>
        <w:t>组合墙隔声量计算过程</w:t>
      </w:r>
      <w:r>
        <w:tab/>
      </w:r>
      <w:r>
        <w:fldChar w:fldCharType="begin"/>
      </w:r>
      <w:r>
        <w:instrText xml:space="preserve"> PAGEREF _Toc4120 \h </w:instrText>
      </w:r>
      <w:r>
        <w:fldChar w:fldCharType="separate"/>
      </w:r>
      <w:r>
        <w:t>7</w:t>
      </w:r>
      <w:r>
        <w:fldChar w:fldCharType="end"/>
      </w:r>
      <w:r>
        <w:fldChar w:fldCharType="end"/>
      </w:r>
    </w:p>
    <w:p>
      <w:pPr>
        <w:pStyle w:val="19"/>
        <w:tabs>
          <w:tab w:val="right" w:leader="dot" w:pos="9070"/>
          <w:tab w:val="clear" w:pos="540"/>
          <w:tab w:val="clear" w:pos="9360"/>
        </w:tabs>
      </w:pPr>
      <w:r>
        <w:fldChar w:fldCharType="begin"/>
      </w:r>
      <w:r>
        <w:instrText xml:space="preserve"> HYPERLINK \l _Toc6973 </w:instrText>
      </w:r>
      <w:r>
        <w:fldChar w:fldCharType="separate"/>
      </w:r>
      <w:r>
        <w:t xml:space="preserve">5.5 </w:t>
      </w:r>
      <w:r>
        <w:rPr>
          <w:rFonts w:hint="eastAsia"/>
        </w:rPr>
        <w:t>室外环境噪声通过组合墙传到室内的噪声级计算</w:t>
      </w:r>
      <w:r>
        <w:tab/>
      </w:r>
      <w:r>
        <w:fldChar w:fldCharType="begin"/>
      </w:r>
      <w:r>
        <w:instrText xml:space="preserve"> PAGEREF _Toc6973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_Toc23327 </w:instrText>
      </w:r>
      <w:r>
        <w:fldChar w:fldCharType="separate"/>
      </w:r>
      <w:r>
        <w:t xml:space="preserve">5.6 </w:t>
      </w:r>
      <w:r>
        <w:rPr>
          <w:rFonts w:hint="eastAsia"/>
        </w:rPr>
        <w:t>室内声源的影响</w:t>
      </w:r>
      <w:r>
        <w:tab/>
      </w:r>
      <w:r>
        <w:fldChar w:fldCharType="begin"/>
      </w:r>
      <w:r>
        <w:instrText xml:space="preserve"> PAGEREF _Toc23327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_Toc8242 </w:instrText>
      </w:r>
      <w:r>
        <w:fldChar w:fldCharType="separate"/>
      </w:r>
      <w:r>
        <w:t xml:space="preserve">5.7 </w:t>
      </w:r>
      <w:r>
        <w:rPr>
          <w:rFonts w:hint="eastAsia"/>
        </w:rPr>
        <w:t>室内噪声级计算</w:t>
      </w:r>
      <w:r>
        <w:tab/>
      </w:r>
      <w:r>
        <w:fldChar w:fldCharType="begin"/>
      </w:r>
      <w:r>
        <w:instrText xml:space="preserve"> PAGEREF _Toc8242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_Toc2240 </w:instrText>
      </w:r>
      <w:r>
        <w:fldChar w:fldCharType="separate"/>
      </w:r>
      <w:r>
        <w:t xml:space="preserve">5.8 </w:t>
      </w:r>
      <w:r>
        <w:rPr>
          <w:rFonts w:hint="eastAsia"/>
        </w:rPr>
        <w:t>小结</w:t>
      </w:r>
      <w:r>
        <w:tab/>
      </w:r>
      <w:r>
        <w:fldChar w:fldCharType="begin"/>
      </w:r>
      <w:r>
        <w:instrText xml:space="preserve"> PAGEREF _Toc2240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_Toc5622 </w:instrText>
      </w:r>
      <w:r>
        <w:fldChar w:fldCharType="separate"/>
      </w:r>
      <w:r>
        <w:rPr>
          <w:kern w:val="2"/>
        </w:rPr>
        <w:t xml:space="preserve">6 </w:t>
      </w:r>
      <w:r>
        <w:rPr>
          <w:rFonts w:hint="eastAsia"/>
          <w:kern w:val="2"/>
        </w:rPr>
        <w:t>结论</w:t>
      </w:r>
      <w:r>
        <w:tab/>
      </w:r>
      <w:r>
        <w:fldChar w:fldCharType="begin"/>
      </w:r>
      <w:r>
        <w:instrText xml:space="preserve"> PAGEREF _Toc5622 \h </w:instrText>
      </w:r>
      <w:r>
        <w:fldChar w:fldCharType="separate"/>
      </w:r>
      <w:r>
        <w:t>10</w:t>
      </w:r>
      <w:r>
        <w:fldChar w:fldCharType="end"/>
      </w:r>
      <w:r>
        <w:fldChar w:fldCharType="end"/>
      </w:r>
    </w:p>
    <w:p>
      <w:pPr>
        <w:pStyle w:val="18"/>
        <w:tabs>
          <w:tab w:val="right" w:leader="dot" w:pos="9070"/>
          <w:tab w:val="clear" w:pos="180"/>
          <w:tab w:val="clear" w:pos="9360"/>
        </w:tabs>
      </w:pPr>
      <w:r>
        <w:fldChar w:fldCharType="begin"/>
      </w:r>
      <w:r>
        <w:instrText xml:space="preserve"> HYPERLINK \l _Toc3880 </w:instrText>
      </w:r>
      <w:r>
        <w:fldChar w:fldCharType="separate"/>
      </w:r>
      <w:r>
        <w:rPr>
          <w:kern w:val="2"/>
        </w:rPr>
        <w:t xml:space="preserve">7 </w:t>
      </w:r>
      <w:r>
        <w:rPr>
          <w:rFonts w:hint="eastAsia"/>
          <w:kern w:val="2"/>
        </w:rPr>
        <w:t>附录：室内噪声级详表</w:t>
      </w:r>
      <w:r>
        <w:tab/>
      </w:r>
      <w:r>
        <w:fldChar w:fldCharType="begin"/>
      </w:r>
      <w:r>
        <w:instrText xml:space="preserve"> PAGEREF _Toc3880 \h </w:instrText>
      </w:r>
      <w:r>
        <w:fldChar w:fldCharType="separate"/>
      </w:r>
      <w:r>
        <w:t>12</w:t>
      </w:r>
      <w:r>
        <w:fldChar w:fldCharType="end"/>
      </w:r>
      <w:r>
        <w:fldChar w:fldCharType="end"/>
      </w:r>
    </w:p>
    <w:p>
      <w:pPr>
        <w:pStyle w:val="18"/>
        <w:sectPr>
          <w:footerReference r:id="rId3"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4271"/>
      <w:r>
        <w:rPr>
          <w:rFonts w:hint="eastAsia"/>
        </w:rPr>
        <w:t>建筑概况</w:t>
      </w:r>
      <w:bookmarkEnd w:id="11"/>
    </w:p>
    <w:tbl>
      <w:tblPr>
        <w:tblStyle w:val="21"/>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1#楼</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5174</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3</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16.2</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69"/>
      <w:r>
        <w:rPr>
          <w:rFonts w:hint="eastAsia"/>
        </w:rPr>
        <w:t>评价依据</w:t>
      </w:r>
      <w:bookmarkEnd w:id="21"/>
    </w:p>
    <w:p>
      <w:pPr>
        <w:pStyle w:val="3"/>
        <w:numPr>
          <w:ilvl w:val="0"/>
          <w:numId w:val="2"/>
        </w:numPr>
        <w:rPr>
          <w:lang w:val="en-US"/>
        </w:rPr>
      </w:pPr>
      <w:bookmarkStart w:id="22" w:name="标准名称1"/>
      <w:r>
        <w:t>河北省《绿色建筑评价标准》DB13(J)/T  8427-2021</w:t>
      </w:r>
      <w:bookmarkEnd w:id="22"/>
    </w:p>
    <w:p>
      <w:pPr>
        <w:pStyle w:val="3"/>
        <w:numPr>
          <w:ilvl w:val="0"/>
          <w:numId w:val="2"/>
        </w:numPr>
        <w:rPr>
          <w:lang w:val="en-US"/>
        </w:rPr>
      </w:pPr>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空气声隔声技术》等</w:t>
      </w:r>
    </w:p>
    <w:p>
      <w:pPr>
        <w:pStyle w:val="2"/>
      </w:pPr>
      <w:bookmarkStart w:id="23" w:name="_Toc7491"/>
      <w:r>
        <w:rPr>
          <w:rFonts w:hint="eastAsia"/>
        </w:rPr>
        <w:t>标准</w:t>
      </w:r>
      <w:r>
        <w:t>要求</w:t>
      </w:r>
      <w:bookmarkEnd w:id="23"/>
    </w:p>
    <w:p>
      <w:pPr>
        <w:pStyle w:val="3"/>
        <w:ind w:firstLine="420" w:firstLineChars="200"/>
      </w:pPr>
      <w:bookmarkStart w:id="24" w:name="地方标准名称2"/>
      <w:bookmarkStart w:id="25" w:name="标准名称2"/>
      <w:r>
        <w:rPr>
          <w:rFonts w:hint="eastAsia"/>
        </w:rPr>
        <w:t>河北省《绿色建筑评价标准》DB13(J)/T  8427-2021</w:t>
      </w:r>
      <w:bookmarkEnd w:id="24"/>
      <w:bookmarkEnd w:id="25"/>
      <w:r>
        <w:rPr>
          <w:rFonts w:hint="eastAsia"/>
        </w:rPr>
        <w:t>第5.1.</w:t>
      </w:r>
      <w:r>
        <w:t>4</w:t>
      </w:r>
      <w:r>
        <w:rPr>
          <w:rFonts w:hint="eastAsia"/>
        </w:rPr>
        <w:t>条、第</w:t>
      </w:r>
      <w:bookmarkStart w:id="26" w:name="室内噪声级条文编号1"/>
      <w:r>
        <w:rPr>
          <w:rFonts w:hint="eastAsia"/>
        </w:rPr>
        <w:t>5.2.6</w:t>
      </w:r>
      <w:bookmarkEnd w:id="26"/>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pPr>
      <w:bookmarkStart w:id="27" w:name="室内噪声级条文内容1"/>
      <w:bookmarkEnd w:id="27"/>
      <w:r>
        <w:t>5.2.6 采取措施优化主要功能房间的室内声环境，评价总分值为8分。噪声级达到现行国家标准《民用建筑隔声设计规范》GB 50118中的低限标准限值和高要求标准限值的平均值，且低于低限标准限值3dB，得4分；达到高要求标准限值，得8分。</w:t>
      </w:r>
    </w:p>
    <w:p>
      <w:pPr>
        <w:pStyle w:val="2"/>
        <w:rPr>
          <w:kern w:val="2"/>
        </w:rPr>
      </w:pPr>
      <w:bookmarkStart w:id="28" w:name="_Toc5435"/>
      <w:r>
        <w:rPr>
          <w:rFonts w:hint="eastAsia"/>
          <w:kern w:val="2"/>
        </w:rPr>
        <w:t>计算原理</w:t>
      </w:r>
      <w:bookmarkEnd w:id="28"/>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9" w:name="_Toc18920"/>
      <w:r>
        <w:rPr>
          <w:rFonts w:hint="eastAsia"/>
        </w:rPr>
        <w:t>典型</w:t>
      </w:r>
      <w:r>
        <w:t>房间确定</w:t>
      </w:r>
      <w:bookmarkEnd w:id="29"/>
    </w:p>
    <w:p>
      <w:pPr>
        <w:pStyle w:val="3"/>
        <w:numPr>
          <w:ilvl w:val="0"/>
          <w:numId w:val="4"/>
        </w:numPr>
      </w:pPr>
      <w:bookmarkStart w:id="30" w:name="_Hlk498956250"/>
      <w:bookmarkStart w:id="31"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30"/>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32" w:name="_Toc31185"/>
      <w:r>
        <w:rPr>
          <w:rFonts w:hint="eastAsia"/>
        </w:rPr>
        <w:t>室内</w:t>
      </w:r>
      <w:r>
        <w:t>噪声级</w:t>
      </w:r>
      <w:r>
        <w:rPr>
          <w:rFonts w:hint="eastAsia"/>
        </w:rPr>
        <w:t>计算</w:t>
      </w:r>
      <w:bookmarkEnd w:id="32"/>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33" w:name="_Toc21815"/>
      <w:r>
        <w:rPr>
          <w:rFonts w:hint="eastAsia"/>
          <w:kern w:val="2"/>
        </w:rPr>
        <w:t>计算</w:t>
      </w:r>
      <w:r>
        <w:rPr>
          <w:kern w:val="2"/>
        </w:rPr>
        <w:t>过程</w:t>
      </w:r>
      <w:bookmarkEnd w:id="33"/>
    </w:p>
    <w:p>
      <w:pPr>
        <w:pStyle w:val="3"/>
        <w:ind w:firstLine="420"/>
        <w:rPr>
          <w:lang w:val="en-US"/>
        </w:rPr>
      </w:pPr>
      <w:r>
        <w:rPr>
          <w:rFonts w:hint="eastAsia"/>
          <w:lang w:val="en-US"/>
        </w:rPr>
        <w:t>本项目通过对整栋建筑的分析，确定了主要功能房间中噪声级不利的典型房间为</w:t>
      </w:r>
      <w:bookmarkStart w:id="34" w:name="最不利房间编号2"/>
      <w:r>
        <w:rPr>
          <w:rFonts w:hint="eastAsia"/>
          <w:lang w:val="en-US"/>
        </w:rPr>
        <w:t>1001房间,房间类型[普通办公室]</w:t>
      </w:r>
      <w:bookmarkEnd w:id="34"/>
      <w:r>
        <w:rPr>
          <w:rFonts w:hint="eastAsia"/>
          <w:lang w:val="en-US"/>
        </w:rPr>
        <w:t>，报告书阐述该房间室内噪声级计算过程，房间情况如下图所示：</w:t>
      </w:r>
    </w:p>
    <w:p>
      <w:pPr>
        <w:jc w:val="center"/>
        <w:rPr>
          <w:lang w:val="en-US"/>
        </w:rPr>
      </w:pPr>
      <w:bookmarkStart w:id="35" w:name="最不利房间楼层平面图"/>
      <w:bookmarkEnd w:id="35"/>
      <w:r>
        <w:drawing>
          <wp:inline distT="0" distB="0" distL="0" distR="0">
            <wp:extent cx="5667375" cy="24574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9"/>
                    <a:stretch>
                      <a:fillRect/>
                    </a:stretch>
                  </pic:blipFill>
                  <pic:spPr>
                    <a:xfrm>
                      <a:off x="0" y="0"/>
                      <a:ext cx="5667375" cy="24574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pPr>
        <w:pStyle w:val="4"/>
      </w:pPr>
      <w:bookmarkStart w:id="36" w:name="_Toc17113"/>
      <w:r>
        <w:rPr>
          <w:rFonts w:hint="eastAsia"/>
        </w:rPr>
        <w:t>室外</w:t>
      </w:r>
      <w:r>
        <w:t>边界噪声</w:t>
      </w:r>
      <w:bookmarkEnd w:id="36"/>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7" w:name="昼间边界噪声"/>
      <w:r>
        <w:rPr>
          <w:rFonts w:hint="eastAsia"/>
          <w:b/>
          <w:kern w:val="2"/>
          <w:lang w:val="en-US"/>
        </w:rPr>
        <w:t>55</w:t>
      </w:r>
      <w:bookmarkEnd w:id="37"/>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8" w:name="夜间边界噪声"/>
      <w:r>
        <w:rPr>
          <w:rFonts w:hint="eastAsia"/>
          <w:b/>
          <w:kern w:val="2"/>
          <w:lang w:val="en-US"/>
        </w:rPr>
        <w:t>45</w:t>
      </w:r>
      <w:bookmarkEnd w:id="38"/>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9" w:name="_Toc30436"/>
      <w:r>
        <w:t>构件空气声隔声</w:t>
      </w:r>
      <w:bookmarkEnd w:id="39"/>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200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自保温蒸压加气混凝土砌块</w:t>
            </w:r>
          </w:p>
        </w:tc>
        <w:tc>
          <w:tcPr>
            <w:vAlign w:val="center"/>
          </w:tcPr>
          <w:p>
            <w:pPr>
              <w:jc w:val="center"/>
              <w:rPr>
                <w:sz w:val="21"/>
                <w:szCs w:val="21"/>
              </w:rPr>
            </w:pPr>
            <w:r>
              <w:rPr>
                <w:sz w:val="21"/>
                <w:szCs w:val="21"/>
              </w:rPr>
              <w:t>300</w:t>
            </w:r>
          </w:p>
        </w:tc>
        <w:tc>
          <w:tcPr>
            <w:vAlign w:val="center"/>
          </w:tcPr>
          <w:p>
            <w:pPr>
              <w:jc w:val="center"/>
              <w:rPr>
                <w:sz w:val="21"/>
                <w:szCs w:val="21"/>
              </w:rPr>
            </w:pPr>
            <w:r>
              <w:rPr>
                <w:sz w:val="21"/>
                <w:szCs w:val="21"/>
              </w:rPr>
              <w:t>488</w:t>
            </w:r>
          </w:p>
        </w:tc>
        <w:tc>
          <w:tcPr>
            <w:vAlign w:val="center"/>
          </w:tcPr>
          <w:p>
            <w:pPr>
              <w:jc w:val="center"/>
              <w:rPr>
                <w:sz w:val="21"/>
                <w:szCs w:val="21"/>
              </w:rPr>
            </w:pPr>
            <w:r>
              <w:rPr>
                <w:sz w:val="21"/>
                <w:szCs w:val="21"/>
              </w:rPr>
              <w:t>146</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restart"/>
            <w:vAlign w:val="center"/>
          </w:tcPr>
          <w:p>
            <w:pPr>
              <w:jc w:val="center"/>
              <w:rPr>
                <w:sz w:val="21"/>
                <w:szCs w:val="21"/>
              </w:rPr>
            </w:pPr>
            <w:r>
              <w:rPr>
                <w:sz w:val="21"/>
                <w:szCs w:val="21"/>
              </w:rPr>
              <w:t>176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加气混凝土砌块</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地面</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536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60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150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粉煤灰</w:t>
            </w:r>
          </w:p>
        </w:tc>
        <w:tc>
          <w:tcPr>
            <w:vAlign w:val="center"/>
          </w:tcPr>
          <w:p>
            <w:pPr>
              <w:jc w:val="center"/>
              <w:rPr>
                <w:sz w:val="21"/>
                <w:szCs w:val="21"/>
              </w:rPr>
            </w:pPr>
            <w:r>
              <w:rPr>
                <w:sz w:val="21"/>
                <w:szCs w:val="21"/>
              </w:rPr>
              <w:t>350</w:t>
            </w:r>
          </w:p>
        </w:tc>
        <w:tc>
          <w:tcPr>
            <w:vAlign w:val="center"/>
          </w:tcPr>
          <w:p>
            <w:pPr>
              <w:jc w:val="center"/>
              <w:rPr>
                <w:sz w:val="21"/>
                <w:szCs w:val="21"/>
              </w:rPr>
            </w:pPr>
            <w:r>
              <w:rPr>
                <w:sz w:val="21"/>
                <w:szCs w:val="21"/>
              </w:rPr>
              <w:t>1000</w:t>
            </w:r>
          </w:p>
        </w:tc>
        <w:tc>
          <w:tcPr>
            <w:vAlign w:val="center"/>
          </w:tcPr>
          <w:p>
            <w:pPr>
              <w:jc w:val="center"/>
              <w:rPr>
                <w:sz w:val="21"/>
                <w:szCs w:val="21"/>
              </w:rPr>
            </w:pPr>
            <w:r>
              <w:rPr>
                <w:sz w:val="21"/>
                <w:szCs w:val="21"/>
              </w:rPr>
              <w:t>350</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463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C15豆石混凝土</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2300</w:t>
            </w:r>
          </w:p>
        </w:tc>
        <w:tc>
          <w:tcPr>
            <w:vAlign w:val="center"/>
          </w:tcPr>
          <w:p>
            <w:pPr>
              <w:jc w:val="center"/>
              <w:rPr>
                <w:sz w:val="21"/>
                <w:szCs w:val="21"/>
              </w:rPr>
            </w:pPr>
            <w:r>
              <w:rPr>
                <w:sz w:val="21"/>
                <w:szCs w:val="21"/>
              </w:rPr>
              <w:t>92</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挤塑聚苯板(ρ=25-32)</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1</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石灰水泥砂浆（混合砂浆）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34</w:t>
            </w:r>
          </w:p>
        </w:tc>
        <w:tc>
          <w:tcPr>
            <w:vMerge w:val="continue"/>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bl>
    <w:p>
      <w:pPr>
        <w:jc w:val="center"/>
        <w:rPr>
          <w:lang w:val="en-US"/>
        </w:rPr>
      </w:pPr>
      <w:bookmarkStart w:id="40" w:name="最不利房间围护结构材料清单"/>
      <w:bookmarkEnd w:id="40"/>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481" w:leftChars="267"/>
        <w:jc w:val="center"/>
        <w:rPr>
          <w:lang w:val="en-US"/>
        </w:rPr>
      </w:pPr>
      <w:r>
        <w:rPr>
          <w:i/>
          <w:lang w:val="en-US"/>
        </w:rPr>
        <w:t xml:space="preserve"> R</w:t>
      </w:r>
      <w:r>
        <w:rPr>
          <w:lang w:val="en-US"/>
        </w:rPr>
        <w:t>=</w:t>
      </w:r>
      <w:bookmarkStart w:id="41" w:name="公式A1"/>
      <w:r>
        <w:t>23</w:t>
      </w:r>
      <w:bookmarkEnd w:id="41"/>
      <w:r>
        <w:rPr>
          <w:rFonts w:hint="eastAsia"/>
          <w:i/>
          <w:lang w:val="en-US"/>
        </w:rPr>
        <w:t>lg</w:t>
      </w:r>
      <w:r>
        <w:rPr>
          <w:lang w:val="en-US"/>
        </w:rPr>
        <w:t xml:space="preserve"> </w:t>
      </w:r>
      <w:r>
        <w:rPr>
          <w:rFonts w:hint="eastAsia"/>
          <w:lang w:val="en-US"/>
        </w:rPr>
        <w:t>m</w:t>
      </w:r>
      <w:r>
        <w:rPr>
          <w:lang w:val="en-US"/>
        </w:rPr>
        <w:t>+</w:t>
      </w:r>
      <w:bookmarkStart w:id="42" w:name="公式B1"/>
      <w:r>
        <w:t>11</w:t>
      </w:r>
      <w:bookmarkEnd w:id="42"/>
      <w:r>
        <w:rPr>
          <w:rFonts w:hint="eastAsia"/>
          <w:i/>
          <w:lang w:val="en-US"/>
        </w:rPr>
        <w:t>lg</w:t>
      </w:r>
      <w:r>
        <w:rPr>
          <w:i/>
          <w:lang w:val="en-US"/>
        </w:rPr>
        <w:t xml:space="preserve"> </w:t>
      </w:r>
      <w:r>
        <w:rPr>
          <w:rFonts w:hint="eastAsia"/>
          <w:lang w:val="en-US"/>
        </w:rPr>
        <w:t>f</w:t>
      </w:r>
      <w:bookmarkStart w:id="43" w:name="公式C1"/>
      <w:r>
        <w:t>-41</w:t>
      </w:r>
      <w:bookmarkEnd w:id="43"/>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left="481" w:leftChars="267"/>
        <w:jc w:val="center"/>
        <w:rPr>
          <w:lang w:val="en-US"/>
        </w:rPr>
      </w:pPr>
      <w:r>
        <w:rPr>
          <w:i/>
          <w:lang w:val="en-US"/>
        </w:rPr>
        <w:t xml:space="preserve"> R</w:t>
      </w:r>
      <w:r>
        <w:rPr>
          <w:lang w:val="en-US"/>
        </w:rPr>
        <w:t>=</w:t>
      </w:r>
      <w:bookmarkStart w:id="44" w:name="公式A2"/>
      <w:r>
        <w:t>13</w:t>
      </w:r>
      <w:bookmarkEnd w:id="44"/>
      <w:r>
        <w:rPr>
          <w:rFonts w:hint="eastAsia"/>
          <w:i/>
          <w:lang w:val="en-US"/>
        </w:rPr>
        <w:t>lg</w:t>
      </w:r>
      <w:r>
        <w:rPr>
          <w:lang w:val="en-US"/>
        </w:rPr>
        <w:t xml:space="preserve"> </w:t>
      </w:r>
      <w:r>
        <w:rPr>
          <w:rFonts w:hint="eastAsia"/>
          <w:lang w:val="en-US"/>
        </w:rPr>
        <w:t>m</w:t>
      </w:r>
      <w:r>
        <w:rPr>
          <w:lang w:val="en-US"/>
        </w:rPr>
        <w:t>+</w:t>
      </w:r>
      <w:bookmarkStart w:id="45" w:name="公式B2"/>
      <w:r>
        <w:t>11</w:t>
      </w:r>
      <w:bookmarkEnd w:id="45"/>
      <w:r>
        <w:rPr>
          <w:rFonts w:hint="eastAsia"/>
          <w:i/>
          <w:lang w:val="en-US"/>
        </w:rPr>
        <w:t>lg</w:t>
      </w:r>
      <w:r>
        <w:rPr>
          <w:i/>
          <w:lang w:val="en-US"/>
        </w:rPr>
        <w:t xml:space="preserve"> </w:t>
      </w:r>
      <w:r>
        <w:rPr>
          <w:rFonts w:hint="eastAsia"/>
          <w:lang w:val="en-US"/>
        </w:rPr>
        <w:t>f</w:t>
      </w:r>
      <w:bookmarkStart w:id="46" w:name="公式C2"/>
      <w:r>
        <w:t>-18</w:t>
      </w:r>
      <w:bookmarkEnd w:id="46"/>
      <w:r>
        <w:rPr>
          <w:lang w:val="en-US"/>
        </w:rPr>
        <w:t xml:space="preserve">       </w:t>
      </w:r>
      <w:r>
        <w:rPr>
          <w:rFonts w:hint="eastAsia"/>
          <w:lang w:val="en-US"/>
        </w:rPr>
        <w:t>（</w:t>
      </w:r>
      <w:r>
        <w:rPr>
          <w:lang w:val="en-US"/>
        </w:rPr>
        <w:t>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before="240" w:after="156" w:afterLines="5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外墙(填充墙)</w:t>
            </w:r>
            <w:r>
              <w:rPr>
                <w:sz w:val="21"/>
                <w:szCs w:val="21"/>
              </w:rPr>
              <w:br w:type="textWrapping"/>
            </w:r>
            <w:r>
              <w:rPr>
                <w:sz w:val="21"/>
                <w:szCs w:val="21"/>
              </w:rPr>
              <w:t>构造1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35.0</w:t>
            </w:r>
          </w:p>
        </w:tc>
        <w:tc>
          <w:tcPr>
            <w:vAlign w:val="center"/>
          </w:tcPr>
          <w:p>
            <w:pPr>
              <w:rPr>
                <w:sz w:val="21"/>
                <w:szCs w:val="21"/>
              </w:rPr>
            </w:pPr>
            <w:r>
              <w:rPr>
                <w:sz w:val="21"/>
                <w:szCs w:val="21"/>
              </w:rPr>
              <w:t>38.3</w:t>
            </w:r>
          </w:p>
        </w:tc>
        <w:tc>
          <w:tcPr>
            <w:vAlign w:val="center"/>
          </w:tcPr>
          <w:p>
            <w:pPr>
              <w:rPr>
                <w:sz w:val="21"/>
                <w:szCs w:val="21"/>
              </w:rPr>
            </w:pPr>
            <w:r>
              <w:rPr>
                <w:sz w:val="21"/>
                <w:szCs w:val="21"/>
              </w:rPr>
              <w:t>41.6</w:t>
            </w:r>
          </w:p>
        </w:tc>
        <w:tc>
          <w:tcPr>
            <w:vAlign w:val="center"/>
          </w:tcPr>
          <w:p>
            <w:pPr>
              <w:rPr>
                <w:sz w:val="21"/>
                <w:szCs w:val="21"/>
              </w:rPr>
            </w:pPr>
            <w:r>
              <w:rPr>
                <w:sz w:val="21"/>
                <w:szCs w:val="21"/>
              </w:rPr>
              <w:t>44.9</w:t>
            </w:r>
          </w:p>
        </w:tc>
        <w:tc>
          <w:tcPr>
            <w:vAlign w:val="center"/>
          </w:tcPr>
          <w:p>
            <w:pPr>
              <w:rPr>
                <w:sz w:val="21"/>
                <w:szCs w:val="21"/>
              </w:rPr>
            </w:pPr>
            <w:r>
              <w:rPr>
                <w:sz w:val="21"/>
                <w:szCs w:val="21"/>
              </w:rPr>
              <w:t>48.3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200.4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水泥砂浆 20mm＋自保温蒸压加气混凝土砌块 300mm＋水泥砂浆 10mm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蒸压加气混凝土砌块390x190x190双面抹灰</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bl>
    <w:p>
      <w:pPr>
        <w:jc w:val="center"/>
      </w:pPr>
      <w:bookmarkStart w:id="47" w:name="外墙隔声量"/>
      <w:bookmarkEnd w:id="47"/>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外窗(C0940)</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上限-60系列平开铝合金断热窗6+12A+6LowE</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外门(M1540)</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0.0</w:t>
            </w:r>
          </w:p>
        </w:tc>
        <w:tc>
          <w:tcPr>
            <w:vAlign w:val="center"/>
          </w:tcPr>
          <w:p>
            <w:pPr>
              <w:rPr>
                <w:sz w:val="21"/>
                <w:szCs w:val="21"/>
              </w:rPr>
            </w:pPr>
            <w:r>
              <w:rPr>
                <w:sz w:val="21"/>
                <w:szCs w:val="21"/>
              </w:rPr>
              <w:t>31.0</w:t>
            </w:r>
          </w:p>
        </w:tc>
        <w:tc>
          <w:tcPr>
            <w:vAlign w:val="center"/>
          </w:tcPr>
          <w:p>
            <w:pPr>
              <w:rPr>
                <w:sz w:val="21"/>
                <w:szCs w:val="21"/>
              </w:rPr>
            </w:pPr>
            <w:r>
              <w:rPr>
                <w:sz w:val="21"/>
                <w:szCs w:val="21"/>
              </w:rPr>
              <w:t>32.0</w:t>
            </w:r>
          </w:p>
        </w:tc>
        <w:tc>
          <w:tcPr>
            <w:vAlign w:val="center"/>
          </w:tcPr>
          <w:p>
            <w:pPr>
              <w:rPr>
                <w:sz w:val="21"/>
                <w:szCs w:val="21"/>
              </w:rPr>
            </w:pPr>
            <w:r>
              <w:rPr>
                <w:sz w:val="21"/>
                <w:szCs w:val="21"/>
              </w:rPr>
              <w:t>32.0</w:t>
            </w:r>
          </w:p>
        </w:tc>
        <w:tc>
          <w:tcPr>
            <w:vAlign w:val="center"/>
          </w:tcPr>
          <w:p>
            <w:pPr>
              <w:rPr>
                <w:sz w:val="21"/>
                <w:szCs w:val="21"/>
              </w:rPr>
            </w:pPr>
            <w:r>
              <w:rPr>
                <w:sz w:val="21"/>
                <w:szCs w:val="21"/>
              </w:rP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普通保温措施玻璃门（断桥铝合金框）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80厚钢门</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bl>
    <w:p>
      <w:pPr>
        <w:jc w:val="center"/>
        <w:rPr>
          <w:lang w:val="en-US"/>
        </w:rPr>
      </w:pPr>
      <w:bookmarkStart w:id="48" w:name="门窗隔声量"/>
      <w:bookmarkEnd w:id="48"/>
    </w:p>
    <w:p>
      <w:pPr>
        <w:pStyle w:val="4"/>
      </w:pPr>
      <w:bookmarkStart w:id="49" w:name="_Toc11932"/>
      <w:r>
        <w:rPr>
          <w:rFonts w:hint="eastAsia"/>
        </w:rPr>
        <w:t>房间</w:t>
      </w:r>
      <w:r>
        <w:t>总吸声量计算</w:t>
      </w:r>
      <w:bookmarkEnd w:id="49"/>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m:oMath>
        <m:sSub>
          <m:sSubPr>
            <m:ctrlPr>
              <w:rPr>
                <w:rFonts w:ascii="Cambria Math" w:hAnsi="Calibri"/>
                <w:i/>
                <w:lang w:val="en-US"/>
              </w:rPr>
            </m:ctrlPr>
          </m:sSubPr>
          <m:e>
            <m:r>
              <m:rPr/>
              <w:rPr>
                <w:rFonts w:ascii="Cambria Math" w:hAnsi="Calibri"/>
                <w:lang w:val="en-US"/>
              </w:rPr>
              <m:t>A</m:t>
            </m:r>
            <m:ctrlPr>
              <w:rPr>
                <w:rFonts w:ascii="Cambria Math" w:hAnsi="Calibri"/>
                <w:i/>
                <w:lang w:val="en-US"/>
              </w:rPr>
            </m:ctrlPr>
          </m:e>
          <m:sub>
            <m:r>
              <m:rPr/>
              <w:rPr>
                <w:rFonts w:ascii="Cambria Math" w:hAnsi="Calibri"/>
                <w:lang w:val="en-US"/>
              </w:rPr>
              <m:t>j</m:t>
            </m:r>
            <m:ctrlPr>
              <w:rPr>
                <w:rFonts w:ascii="Cambria Math" w:hAnsi="Calibri"/>
                <w:i/>
                <w:lang w:val="en-US"/>
              </w:rPr>
            </m:ctrlPr>
          </m:sub>
        </m:sSub>
      </m:oMath>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α</m:t>
            </m:r>
            <m:ctrlPr>
              <w:rPr>
                <w:rFonts w:ascii="Cambria Math" w:hAnsi="Calibri"/>
                <w:i/>
                <w:szCs w:val="22"/>
                <w:lang w:val="en-US"/>
              </w:rPr>
            </m:ctrlPr>
          </m:e>
          <m:sub>
            <m:r>
              <m:rPr/>
              <w:rPr>
                <w:rFonts w:ascii="Cambria Math" w:hAnsi="Calibri"/>
                <w:szCs w:val="22"/>
                <w:lang w:val="en-US"/>
              </w:rPr>
              <m:t>ij</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m:oMath>
        <m:sSub>
          <m:sSubPr>
            <m:ctrlPr>
              <w:rPr>
                <w:rFonts w:ascii="Cambria Math" w:hAnsi="Calibri"/>
                <w:i/>
                <w:szCs w:val="22"/>
                <w:lang w:val="en-US"/>
              </w:rPr>
            </m:ctrlPr>
          </m:sSubPr>
          <m:e>
            <m:r>
              <m:rPr/>
              <w:rPr>
                <w:rFonts w:ascii="Cambria Math" w:hAnsi="Calibri"/>
                <w:szCs w:val="22"/>
                <w:lang w:val="en-US"/>
              </w:rPr>
              <m:t>S</m:t>
            </m:r>
            <m:ctrlPr>
              <w:rPr>
                <w:rFonts w:ascii="Cambria Math" w:hAnsi="Calibri"/>
                <w:i/>
                <w:szCs w:val="22"/>
                <w:lang w:val="en-US"/>
              </w:rPr>
            </m:ctrlPr>
          </m:e>
          <m:sub>
            <m:r>
              <m:rPr/>
              <w:rPr>
                <w:rFonts w:ascii="Cambria Math" w:hAnsi="Calibri"/>
                <w:szCs w:val="22"/>
                <w:lang w:val="en-US"/>
              </w:rPr>
              <m:t>i</m:t>
            </m:r>
            <m:ctrlPr>
              <w:rPr>
                <w:rFonts w:ascii="Cambria Math" w:hAnsi="Calibri"/>
                <w:i/>
                <w:szCs w:val="22"/>
                <w:lang w:val="en-US"/>
              </w:rPr>
            </m:ctrlPr>
          </m:sub>
        </m:sSub>
      </m:oMath>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142.3</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8.6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外窗(C0940)</w:t>
            </w:r>
          </w:p>
        </w:tc>
        <w:tc>
          <w:tcPr>
            <w:shd w:val="clear" w:color="auto" w:fill="E6E6E6"/>
            <w:vAlign w:val="center"/>
          </w:tcPr>
          <w:p>
            <w:pPr>
              <w:rPr>
                <w:sz w:val="21"/>
                <w:szCs w:val="21"/>
              </w:rPr>
            </w:pPr>
            <w:r>
              <w:rPr>
                <w:sz w:val="21"/>
                <w:szCs w:val="21"/>
              </w:rPr>
              <w:t>6.8</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外门(M1540)</w:t>
            </w:r>
          </w:p>
        </w:tc>
        <w:tc>
          <w:tcPr>
            <w:shd w:val="clear" w:color="auto" w:fill="E6E6E6"/>
            <w:vAlign w:val="center"/>
          </w:tcPr>
          <w:p>
            <w:pPr>
              <w:rPr>
                <w:sz w:val="21"/>
                <w:szCs w:val="21"/>
              </w:rPr>
            </w:pPr>
            <w:r>
              <w:rPr>
                <w:sz w:val="21"/>
                <w:szCs w:val="21"/>
              </w:rPr>
              <w:t>6.0</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45.2</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45.2</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27.5</w:t>
            </w:r>
          </w:p>
        </w:tc>
        <w:tc>
          <w:tcPr>
            <w:vAlign w:val="center"/>
          </w:tcPr>
          <w:p>
            <w:pPr>
              <w:rPr>
                <w:sz w:val="21"/>
                <w:szCs w:val="21"/>
              </w:rPr>
            </w:pPr>
            <w:r>
              <w:rPr>
                <w:sz w:val="21"/>
                <w:szCs w:val="21"/>
              </w:rPr>
              <w:t>14.7</w:t>
            </w:r>
          </w:p>
        </w:tc>
        <w:tc>
          <w:tcPr>
            <w:vAlign w:val="center"/>
          </w:tcPr>
          <w:p>
            <w:pPr>
              <w:rPr>
                <w:sz w:val="21"/>
                <w:szCs w:val="21"/>
              </w:rPr>
            </w:pPr>
            <w:r>
              <w:rPr>
                <w:sz w:val="21"/>
                <w:szCs w:val="21"/>
              </w:rPr>
              <w:t>16.3</w:t>
            </w:r>
          </w:p>
        </w:tc>
        <w:tc>
          <w:tcPr>
            <w:vAlign w:val="center"/>
          </w:tcPr>
          <w:p>
            <w:pPr>
              <w:rPr>
                <w:sz w:val="21"/>
                <w:szCs w:val="21"/>
              </w:rPr>
            </w:pPr>
            <w:r>
              <w:rPr>
                <w:sz w:val="21"/>
                <w:szCs w:val="21"/>
              </w:rPr>
              <w:t>18.3</w:t>
            </w:r>
          </w:p>
        </w:tc>
        <w:tc>
          <w:tcPr>
            <w:vAlign w:val="center"/>
          </w:tcPr>
          <w:p>
            <w:pPr>
              <w:rPr>
                <w:sz w:val="21"/>
                <w:szCs w:val="21"/>
              </w:rPr>
            </w:pPr>
            <w:r>
              <w:rPr>
                <w:sz w:val="21"/>
                <w:szCs w:val="21"/>
              </w:rPr>
              <w:t>22.8</w:t>
            </w:r>
          </w:p>
        </w:tc>
        <w:tc>
          <w:tcPr>
            <w:vAlign w:val="center"/>
          </w:tcPr>
          <w:p>
            <w:pPr>
              <w:rPr>
                <w:sz w:val="21"/>
                <w:szCs w:val="21"/>
              </w:rPr>
            </w:pPr>
          </w:p>
        </w:tc>
      </w:tr>
    </w:tbl>
    <w:p>
      <w:pPr>
        <w:jc w:val="center"/>
        <w:rPr>
          <w:lang w:val="en-US"/>
        </w:rPr>
      </w:pPr>
      <w:bookmarkStart w:id="50" w:name="围护结构吸声量"/>
      <w:bookmarkEnd w:id="50"/>
    </w:p>
    <w:p>
      <w:pPr>
        <w:pStyle w:val="4"/>
      </w:pPr>
      <w:bookmarkStart w:id="51" w:name="_Toc27613"/>
      <w:r>
        <w:rPr>
          <w:rFonts w:hint="eastAsia"/>
        </w:rPr>
        <w:t>组合墙</w:t>
      </w:r>
      <w:r>
        <w:t>空气声隔声量计算</w:t>
      </w:r>
      <w:bookmarkEnd w:id="51"/>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52" w:name="_Toc9996"/>
      <w:r>
        <w:rPr>
          <w:rFonts w:hint="eastAsia"/>
        </w:rPr>
        <w:t>组合墙</w:t>
      </w:r>
      <w:r>
        <w:t>有效隔声量</w:t>
      </w:r>
      <w:bookmarkEnd w:id="52"/>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m:oMath>
        <m:sSub>
          <m:sSubPr>
            <m:ctrlPr>
              <w:rPr>
                <w:rFonts w:ascii="Cambria Math" w:hAnsi="Cambria Math"/>
                <w:i/>
                <w:lang w:val="en-US"/>
              </w:rPr>
            </m:ctrlPr>
          </m:sSubPr>
          <m:e>
            <m:r>
              <m:rPr/>
              <w:rPr>
                <w:rFonts w:ascii="Cambria Math"/>
                <w:lang w:val="en-US"/>
              </w:rPr>
              <m:t>τ</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kj</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m:oMath>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k</m:t>
            </m:r>
            <m:ctrlPr>
              <w:rPr>
                <w:rFonts w:ascii="Cambria Math" w:hAnsi="Cambria Math"/>
                <w:i/>
                <w:lang w:val="en-US"/>
              </w:rPr>
            </m:ctrlPr>
          </m:sub>
        </m:sSub>
      </m:oMath>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oMath>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53" w:name="_Toc31770"/>
      <w:r>
        <w:rPr>
          <w:rFonts w:hint="eastAsia"/>
        </w:rPr>
        <w:t>组合墙</w:t>
      </w:r>
      <w:r>
        <w:t>隔声单值评价量、频谱修正量</w:t>
      </w:r>
      <w:bookmarkEnd w:id="53"/>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满足不利偏差Pi要求的最大值即为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W</m:t>
            </m:r>
            <m:ctrlPr>
              <w:rPr>
                <w:rFonts w:ascii="Cambria Math" w:hAnsi="Cambria Math"/>
                <w:i/>
              </w:rPr>
            </m:ctrlPr>
          </m:sub>
        </m:sSub>
      </m:oMath>
      <w:r>
        <w:rPr>
          <w:rFonts w:hint="eastAsia"/>
        </w:rPr>
        <w:t>—空气声隔声计权单值评价量；</w:t>
      </w:r>
    </w:p>
    <w:p>
      <w:pPr>
        <w:pStyle w:val="3"/>
        <w:ind w:left="540" w:leftChars="300"/>
      </w:pPr>
      <m:oMath>
        <m:sSub>
          <m:sSubPr>
            <m:ctrlPr>
              <w:rPr>
                <w:rFonts w:ascii="Cambria Math" w:hAnsi="Cambria Math"/>
                <w:i/>
              </w:rPr>
            </m:ctrlPr>
          </m:sSubPr>
          <m:e>
            <m:r>
              <m:rPr/>
              <w:rPr>
                <w:rFonts w:ascii="Cambria Math"/>
              </w:rPr>
              <m:t>K</m:t>
            </m:r>
            <m:ctrlPr>
              <w:rPr>
                <w:rFonts w:ascii="Cambria Math" w:hAnsi="Cambria Math"/>
                <w:i/>
              </w:rPr>
            </m:ctrlPr>
          </m:e>
          <m:sub>
            <m:r>
              <m:rPr/>
              <w:rPr>
                <w:rFonts w:ascii="Cambria Math"/>
              </w:rPr>
              <m:t>i</m:t>
            </m:r>
            <m:ctrlPr>
              <w:rPr>
                <w:rFonts w:ascii="Cambria Math" w:hAnsi="Cambria Math"/>
                <w:i/>
              </w:rPr>
            </m:ctrlPr>
          </m:sub>
        </m:sSub>
      </m:oMath>
      <w:r>
        <w:rPr>
          <w:rFonts w:hint="eastAsia"/>
        </w:rPr>
        <w:t>—</w:t>
      </w:r>
      <w:r>
        <w:t>第i个频带的基准值；</w:t>
      </w:r>
    </w:p>
    <w:p>
      <w:pPr>
        <w:pStyle w:val="3"/>
        <w:ind w:left="540" w:leftChars="300"/>
      </w:pPr>
      <m:oMath>
        <m:sSub>
          <m:sSubPr>
            <m:ctrlPr>
              <w:rPr>
                <w:rFonts w:ascii="Cambria Math" w:hAnsi="Cambria Math"/>
                <w:i/>
              </w:rPr>
            </m:ctrlPr>
          </m:sSubPr>
          <m:e>
            <m:r>
              <m:rPr/>
              <w:rPr>
                <w:rFonts w:ascii="Cambria Math"/>
              </w:rPr>
              <m:t>X</m:t>
            </m:r>
            <m:ctrlPr>
              <w:rPr>
                <w:rFonts w:ascii="Cambria Math" w:hAnsi="Cambria Math"/>
                <w:i/>
              </w:rPr>
            </m:ctrlPr>
          </m:e>
          <m:sub>
            <m:r>
              <m:rPr/>
              <w:rPr>
                <w:rFonts w:ascii="Cambria Math"/>
              </w:rPr>
              <m:t>i</m:t>
            </m:r>
            <m:ctrlPr>
              <w:rPr>
                <w:rFonts w:ascii="Cambria Math" w:hAnsi="Cambria Math"/>
                <w:i/>
              </w:rPr>
            </m:ctrlPr>
          </m:sub>
        </m:sSub>
      </m:oMath>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0"/>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1"/>
        <w:tblW w:w="8845"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175"/>
        <w:gridCol w:w="1134"/>
        <w:gridCol w:w="1134"/>
        <w:gridCol w:w="1134"/>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75" w:type="dxa"/>
            <w:shd w:val="clear" w:color="auto" w:fill="E6E6E6"/>
            <w:vAlign w:val="center"/>
          </w:tcPr>
          <w:p>
            <w:pPr>
              <w:jc w:val="center"/>
            </w:pPr>
            <w:r>
              <w:rPr>
                <w:rFonts w:hint="eastAsia"/>
              </w:rPr>
              <w:t>频率</w:t>
            </w:r>
          </w:p>
        </w:tc>
        <w:tc>
          <w:tcPr>
            <w:tcW w:w="1134" w:type="dxa"/>
            <w:shd w:val="clear" w:color="auto" w:fill="E6E6E6"/>
            <w:vAlign w:val="center"/>
          </w:tcPr>
          <w:p>
            <w:pPr>
              <w:jc w:val="center"/>
            </w:pPr>
            <w:r>
              <w:t>125</w:t>
            </w:r>
            <w:r>
              <w:rPr>
                <w:rFonts w:hint="eastAsia"/>
              </w:rPr>
              <w:t xml:space="preserve"> </w:t>
            </w:r>
            <w:r>
              <w:t>H</w:t>
            </w:r>
            <w:r>
              <w:rPr>
                <w:rFonts w:hint="eastAsia"/>
              </w:rPr>
              <w:t>z</w:t>
            </w:r>
          </w:p>
        </w:tc>
        <w:tc>
          <w:tcPr>
            <w:tcW w:w="1134" w:type="dxa"/>
            <w:shd w:val="clear" w:color="auto" w:fill="E6E6E6"/>
            <w:vAlign w:val="center"/>
          </w:tcPr>
          <w:p>
            <w:pPr>
              <w:jc w:val="center"/>
            </w:pPr>
            <w:r>
              <w:t>250</w:t>
            </w:r>
            <w:r>
              <w:rPr>
                <w:rFonts w:hint="eastAsia"/>
              </w:rPr>
              <w:t xml:space="preserve"> </w:t>
            </w:r>
            <w:r>
              <w:t>H</w:t>
            </w:r>
            <w:r>
              <w:rPr>
                <w:rFonts w:hint="eastAsia"/>
              </w:rPr>
              <w:t>z</w:t>
            </w:r>
          </w:p>
        </w:tc>
        <w:tc>
          <w:tcPr>
            <w:tcW w:w="1134" w:type="dxa"/>
            <w:shd w:val="clear" w:color="auto" w:fill="E6E6E6"/>
            <w:vAlign w:val="center"/>
          </w:tcPr>
          <w:p>
            <w:pPr>
              <w:jc w:val="center"/>
            </w:pPr>
            <w:r>
              <w:t>500</w:t>
            </w:r>
            <w:r>
              <w:rPr>
                <w:rFonts w:hint="eastAsia"/>
              </w:rPr>
              <w:t xml:space="preserve"> </w:t>
            </w:r>
            <w:r>
              <w:t>H</w:t>
            </w:r>
            <w:r>
              <w:rPr>
                <w:rFonts w:hint="eastAsia"/>
              </w:rPr>
              <w:t>z</w:t>
            </w:r>
          </w:p>
        </w:tc>
        <w:tc>
          <w:tcPr>
            <w:tcW w:w="1134" w:type="dxa"/>
            <w:shd w:val="clear" w:color="auto" w:fill="E6E6E6"/>
            <w:vAlign w:val="center"/>
          </w:tcPr>
          <w:p>
            <w:pPr>
              <w:jc w:val="center"/>
            </w:pPr>
            <w:r>
              <w:t>1000</w:t>
            </w:r>
            <w:r>
              <w:rPr>
                <w:rFonts w:hint="eastAsia"/>
              </w:rPr>
              <w:t xml:space="preserve"> </w:t>
            </w:r>
            <w:r>
              <w:t>H</w:t>
            </w:r>
            <w:r>
              <w:rPr>
                <w:rFonts w:hint="eastAsia"/>
              </w:rPr>
              <w:t>z</w:t>
            </w:r>
          </w:p>
        </w:tc>
        <w:tc>
          <w:tcPr>
            <w:tcW w:w="1134"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3175" w:type="dxa"/>
            <w:shd w:val="clear" w:color="auto" w:fill="E6E6E6"/>
            <w:vAlign w:val="center"/>
          </w:tcPr>
          <w:p>
            <w:pPr>
              <w:jc w:val="center"/>
            </w:pPr>
            <w:r>
              <w:rPr>
                <w:rFonts w:hint="eastAsia"/>
              </w:rPr>
              <w:t>倍频程基准值Ki（dB）</w:t>
            </w:r>
          </w:p>
        </w:tc>
        <w:tc>
          <w:tcPr>
            <w:tcW w:w="1134" w:type="dxa"/>
            <w:vAlign w:val="center"/>
          </w:tcPr>
          <w:p>
            <w:pPr>
              <w:jc w:val="center"/>
            </w:pPr>
            <w:r>
              <w:rPr>
                <w:rFonts w:hint="eastAsia"/>
              </w:rPr>
              <w:t>-16</w:t>
            </w:r>
          </w:p>
        </w:tc>
        <w:tc>
          <w:tcPr>
            <w:tcW w:w="1134" w:type="dxa"/>
            <w:vAlign w:val="center"/>
          </w:tcPr>
          <w:p>
            <w:pPr>
              <w:jc w:val="center"/>
            </w:pPr>
            <w:r>
              <w:rPr>
                <w:rFonts w:hint="eastAsia"/>
              </w:rPr>
              <w:t>-7</w:t>
            </w:r>
          </w:p>
        </w:tc>
        <w:tc>
          <w:tcPr>
            <w:tcW w:w="1134" w:type="dxa"/>
            <w:vAlign w:val="center"/>
          </w:tcPr>
          <w:p>
            <w:pPr>
              <w:jc w:val="center"/>
            </w:pPr>
            <w:r>
              <w:rPr>
                <w:rFonts w:hint="eastAsia"/>
              </w:rPr>
              <w:t>0</w:t>
            </w:r>
          </w:p>
        </w:tc>
        <w:tc>
          <w:tcPr>
            <w:tcW w:w="1134" w:type="dxa"/>
            <w:vAlign w:val="center"/>
          </w:tcPr>
          <w:p>
            <w:pPr>
              <w:jc w:val="center"/>
            </w:pPr>
            <w:r>
              <w:rPr>
                <w:rFonts w:hint="eastAsia"/>
              </w:rPr>
              <w:t>3</w:t>
            </w:r>
          </w:p>
        </w:tc>
        <w:tc>
          <w:tcPr>
            <w:tcW w:w="1134" w:type="dxa"/>
            <w:vAlign w:val="center"/>
          </w:tcPr>
          <w:p>
            <w:pPr>
              <w:jc w:val="center"/>
            </w:pPr>
            <w:r>
              <w:rPr>
                <w:rFonts w:hint="eastAsia"/>
              </w:rPr>
              <w:t>4</w:t>
            </w:r>
          </w:p>
        </w:tc>
      </w:tr>
    </w:tbl>
    <w:p>
      <w:pPr>
        <w:pStyle w:val="3"/>
        <w:ind w:left="420"/>
        <w:rPr>
          <w:b/>
        </w:rPr>
      </w:pPr>
    </w:p>
    <w:p>
      <w:pPr>
        <w:pStyle w:val="3"/>
        <w:ind w:firstLine="420" w:firstLineChars="200"/>
        <w:rPr>
          <w:lang w:val="en-US"/>
        </w:rPr>
      </w:pPr>
      <w:r>
        <w:rPr>
          <w:rFonts w:hint="eastAsia"/>
          <w:b/>
        </w:rPr>
        <w:t>频谱修正量</w:t>
      </w:r>
      <w:r>
        <w:rPr>
          <w:rFonts w:hint="eastAsia"/>
        </w:rPr>
        <w:t>是因隔声频谱不同以及声源空间的噪声频谱不同，所需加到空气声隔声单值评价量</w:t>
      </w:r>
    </w:p>
    <w:p>
      <w:pPr>
        <w:pStyle w:val="3"/>
        <w:ind w:firstLine="420" w:firstLineChars="200"/>
        <w:rPr>
          <w:lang w:val="en-US"/>
        </w:rPr>
      </w:pP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2"/>
        <w:tblW w:w="88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175"/>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3175"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3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3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34"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3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34"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5"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34" w:type="dxa"/>
            <w:vAlign w:val="center"/>
          </w:tcPr>
          <w:p>
            <w:pPr>
              <w:pStyle w:val="3"/>
              <w:spacing w:line="360" w:lineRule="exact"/>
              <w:jc w:val="center"/>
              <w:rPr>
                <w:color w:val="000000"/>
                <w:sz w:val="18"/>
                <w:szCs w:val="18"/>
              </w:rPr>
            </w:pPr>
            <w:r>
              <w:rPr>
                <w:color w:val="000000"/>
                <w:sz w:val="18"/>
                <w:szCs w:val="18"/>
              </w:rPr>
              <w:t>-21</w:t>
            </w:r>
          </w:p>
        </w:tc>
        <w:tc>
          <w:tcPr>
            <w:tcW w:w="1134" w:type="dxa"/>
            <w:vAlign w:val="center"/>
          </w:tcPr>
          <w:p>
            <w:pPr>
              <w:pStyle w:val="3"/>
              <w:spacing w:line="360" w:lineRule="exact"/>
              <w:jc w:val="center"/>
              <w:rPr>
                <w:color w:val="000000"/>
                <w:sz w:val="18"/>
                <w:szCs w:val="18"/>
              </w:rPr>
            </w:pPr>
            <w:r>
              <w:rPr>
                <w:color w:val="000000"/>
                <w:sz w:val="18"/>
                <w:szCs w:val="18"/>
              </w:rPr>
              <w:t>-14</w:t>
            </w:r>
          </w:p>
        </w:tc>
        <w:tc>
          <w:tcPr>
            <w:tcW w:w="1134" w:type="dxa"/>
            <w:vAlign w:val="center"/>
          </w:tcPr>
          <w:p>
            <w:pPr>
              <w:pStyle w:val="3"/>
              <w:spacing w:line="360" w:lineRule="exact"/>
              <w:jc w:val="center"/>
              <w:rPr>
                <w:color w:val="000000"/>
                <w:sz w:val="18"/>
                <w:szCs w:val="18"/>
              </w:rPr>
            </w:pPr>
            <w:r>
              <w:rPr>
                <w:color w:val="000000"/>
                <w:sz w:val="18"/>
                <w:szCs w:val="18"/>
              </w:rPr>
              <w:t>-8</w:t>
            </w:r>
          </w:p>
        </w:tc>
        <w:tc>
          <w:tcPr>
            <w:tcW w:w="1134" w:type="dxa"/>
            <w:vAlign w:val="center"/>
          </w:tcPr>
          <w:p>
            <w:pPr>
              <w:pStyle w:val="3"/>
              <w:spacing w:line="360" w:lineRule="exact"/>
              <w:jc w:val="center"/>
              <w:rPr>
                <w:color w:val="000000"/>
                <w:sz w:val="18"/>
                <w:szCs w:val="18"/>
              </w:rPr>
            </w:pPr>
            <w:r>
              <w:rPr>
                <w:color w:val="000000"/>
                <w:sz w:val="18"/>
                <w:szCs w:val="18"/>
              </w:rPr>
              <w:t>-5</w:t>
            </w:r>
          </w:p>
        </w:tc>
        <w:tc>
          <w:tcPr>
            <w:tcW w:w="1134"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3175" w:type="dxa"/>
            <w:shd w:val="clear" w:color="auto" w:fill="DDDDDD"/>
            <w:vAlign w:val="center"/>
          </w:tcPr>
          <w:p>
            <w:pPr>
              <w:pStyle w:val="3"/>
              <w:spacing w:line="360" w:lineRule="exact"/>
              <w:jc w:val="center"/>
              <w:rPr>
                <w:color w:val="000000"/>
                <w:sz w:val="18"/>
                <w:szCs w:val="18"/>
              </w:rPr>
            </w:pPr>
            <w:r>
              <w:rPr>
                <w:color w:val="000000"/>
                <w:sz w:val="18"/>
                <w:szCs w:val="18"/>
              </w:rPr>
              <w:t>计算交通噪声Ctr的频谱2</w:t>
            </w:r>
            <w:r>
              <w:rPr>
                <w:rFonts w:hint="eastAsia"/>
              </w:rPr>
              <w:t>（dB）</w:t>
            </w:r>
          </w:p>
        </w:tc>
        <w:tc>
          <w:tcPr>
            <w:tcW w:w="1134" w:type="dxa"/>
            <w:vAlign w:val="center"/>
          </w:tcPr>
          <w:p>
            <w:pPr>
              <w:pStyle w:val="3"/>
              <w:spacing w:line="360" w:lineRule="exact"/>
              <w:jc w:val="center"/>
              <w:rPr>
                <w:color w:val="000000"/>
                <w:sz w:val="18"/>
                <w:szCs w:val="18"/>
              </w:rPr>
            </w:pPr>
            <w:r>
              <w:rPr>
                <w:color w:val="000000"/>
                <w:sz w:val="18"/>
                <w:szCs w:val="18"/>
              </w:rPr>
              <w:t>-14</w:t>
            </w:r>
          </w:p>
        </w:tc>
        <w:tc>
          <w:tcPr>
            <w:tcW w:w="1134" w:type="dxa"/>
            <w:vAlign w:val="center"/>
          </w:tcPr>
          <w:p>
            <w:pPr>
              <w:pStyle w:val="3"/>
              <w:spacing w:line="360" w:lineRule="exact"/>
              <w:jc w:val="center"/>
              <w:rPr>
                <w:color w:val="000000"/>
                <w:sz w:val="18"/>
                <w:szCs w:val="18"/>
              </w:rPr>
            </w:pPr>
            <w:r>
              <w:rPr>
                <w:color w:val="000000"/>
                <w:sz w:val="18"/>
                <w:szCs w:val="18"/>
              </w:rPr>
              <w:t>-10</w:t>
            </w:r>
          </w:p>
        </w:tc>
        <w:tc>
          <w:tcPr>
            <w:tcW w:w="1134" w:type="dxa"/>
            <w:vAlign w:val="center"/>
          </w:tcPr>
          <w:p>
            <w:pPr>
              <w:pStyle w:val="3"/>
              <w:spacing w:line="360" w:lineRule="exact"/>
              <w:jc w:val="center"/>
              <w:rPr>
                <w:color w:val="000000"/>
                <w:sz w:val="18"/>
                <w:szCs w:val="18"/>
              </w:rPr>
            </w:pPr>
            <w:r>
              <w:rPr>
                <w:color w:val="000000"/>
                <w:sz w:val="18"/>
                <w:szCs w:val="18"/>
              </w:rPr>
              <w:t>-7</w:t>
            </w:r>
          </w:p>
        </w:tc>
        <w:tc>
          <w:tcPr>
            <w:tcW w:w="1134" w:type="dxa"/>
            <w:vAlign w:val="center"/>
          </w:tcPr>
          <w:p>
            <w:pPr>
              <w:pStyle w:val="3"/>
              <w:spacing w:line="360" w:lineRule="exact"/>
              <w:jc w:val="center"/>
              <w:rPr>
                <w:color w:val="000000"/>
                <w:sz w:val="18"/>
                <w:szCs w:val="18"/>
              </w:rPr>
            </w:pPr>
            <w:r>
              <w:rPr>
                <w:color w:val="000000"/>
                <w:sz w:val="18"/>
                <w:szCs w:val="18"/>
              </w:rPr>
              <w:t>-4</w:t>
            </w:r>
          </w:p>
        </w:tc>
        <w:tc>
          <w:tcPr>
            <w:tcW w:w="1134"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4" w:name="_Toc2764"/>
      <w:r>
        <w:rPr>
          <w:rFonts w:hint="eastAsia"/>
        </w:rPr>
        <w:t>缝隙对组合墙隔声量的影响</w:t>
      </w:r>
      <w:bookmarkEnd w:id="54"/>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ind w:firstLine="420" w:firstLineChars="200"/>
      </w:pPr>
      <w:r>
        <w:rPr>
          <w:rFonts w:hint="eastAsia"/>
        </w:rPr>
        <w:t>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25" o:spt="75" type="#_x0000_t75" style="height:19.5pt;width:15pt;" o:ole="t" filled="f" o:preferrelative="t" stroked="f" coordsize="21600,21600">
            <v:path/>
            <v:fill on="f" focussize="0,0"/>
            <v:stroke on="f" joinstyle="miter"/>
            <v:imagedata r:id="rId12" o:title=""/>
            <o:lock v:ext="edit" aspectratio="t"/>
            <w10:wrap type="none"/>
            <w10:anchorlock/>
          </v:shape>
          <o:OLEObject Type="Embed" ProgID="Equation.DSMT4" ShapeID="_x0000_i1025" DrawAspect="Content" ObjectID="_1468075725" r:id="rId11">
            <o:LockedField>false</o:LockedField>
          </o:OLEObject>
        </w:object>
      </w:r>
      <w:r>
        <w:rPr>
          <w:rFonts w:hint="eastAsia"/>
        </w:rPr>
        <w:t>、</w:t>
      </w:r>
      <w:r>
        <w:rPr>
          <w:position w:val="-12"/>
        </w:rPr>
        <w:object>
          <v:shape id="_x0000_i1026" o:spt="75" type="#_x0000_t75" style="height:19.5pt;width:15pt;" o:ole="t" filled="f" o:preferrelative="t" stroked="f" coordsize="21600,21600">
            <v:path/>
            <v:fill on="f" focussize="0,0"/>
            <v:stroke on="f" joinstyle="miter"/>
            <v:imagedata r:id="rId14" o:title=""/>
            <o:lock v:ext="edit" aspectratio="t"/>
            <w10:wrap type="none"/>
            <w10:anchorlock/>
          </v:shape>
          <o:OLEObject Type="Embed" ProgID="Equation.DSMT4" ShapeID="_x0000_i1026" DrawAspect="Content" ObjectID="_1468075726" r:id="rId13">
            <o:LockedField>false</o:LockedField>
          </o:OLEObject>
        </w:object>
      </w:r>
      <w:r>
        <w:rPr>
          <w:rFonts w:hint="eastAsia"/>
        </w:rPr>
        <w:t>——分别为缝隙和组合墙的面积。</w:t>
      </w:r>
    </w:p>
    <w:p>
      <w:pPr>
        <w:pStyle w:val="3"/>
        <w:ind w:firstLine="320" w:firstLineChars="200"/>
        <w:rPr>
          <w:sz w:val="16"/>
          <w:szCs w:val="16"/>
        </w:rPr>
      </w:pPr>
      <w:r>
        <w:rPr>
          <w:rFonts w:hint="eastAsia"/>
          <w:sz w:val="16"/>
          <w:szCs w:val="16"/>
        </w:rPr>
        <w:t>注：一般的门</w:t>
      </w:r>
      <w:r>
        <w:rPr>
          <w:sz w:val="16"/>
          <w:szCs w:val="16"/>
        </w:rPr>
        <w:t>/</w:t>
      </w:r>
      <w:r>
        <w:rPr>
          <w:rFonts w:hint="eastAsia"/>
          <w:sz w:val="16"/>
          <w:szCs w:val="16"/>
        </w:rPr>
        <w:t>窗与墙之间的缝隙为</w:t>
      </w:r>
      <w:r>
        <w:rPr>
          <w:sz w:val="16"/>
          <w:szCs w:val="16"/>
        </w:rPr>
        <w:t>0.5cm</w:t>
      </w:r>
      <w:r>
        <w:rPr>
          <w:rFonts w:hint="eastAsia"/>
          <w:sz w:val="16"/>
          <w:szCs w:val="16"/>
        </w:rPr>
        <w:t>（装配式）和</w:t>
      </w:r>
      <w:r>
        <w:rPr>
          <w:sz w:val="16"/>
          <w:szCs w:val="16"/>
        </w:rPr>
        <w:t>1cm</w:t>
      </w:r>
      <w:r>
        <w:rPr>
          <w:rFonts w:hint="eastAsia"/>
          <w:sz w:val="16"/>
          <w:szCs w:val="16"/>
        </w:rPr>
        <w:t>（非装配式）。</w:t>
      </w:r>
    </w:p>
    <w:p>
      <w:pPr>
        <w:pStyle w:val="5"/>
      </w:pPr>
      <w:bookmarkStart w:id="55" w:name="_Toc4120"/>
      <w:r>
        <w:rPr>
          <w:rFonts w:hint="eastAsia"/>
        </w:rPr>
        <w:t>组合墙隔声量计算过程</w:t>
      </w:r>
      <w:bookmarkEnd w:id="55"/>
    </w:p>
    <w:p>
      <w:pPr>
        <w:pStyle w:val="3"/>
        <w:ind w:firstLine="420" w:firstLineChars="200"/>
        <w:jc w:val="left"/>
      </w:pPr>
      <w:r>
        <w:t>本建筑</w:t>
      </w:r>
      <w:r>
        <w:rPr>
          <w:rFonts w:hint="eastAsia"/>
        </w:rPr>
        <w:t>典型</w:t>
      </w:r>
      <w:r>
        <w:t>房间的情况如下图所示：</w:t>
      </w:r>
    </w:p>
    <w:p>
      <w:pPr>
        <w:jc w:val="center"/>
      </w:pPr>
      <w:bookmarkStart w:id="56" w:name="最不利房间平面图"/>
      <w:bookmarkEnd w:id="56"/>
      <w:r>
        <w:drawing>
          <wp:inline distT="0" distB="0" distL="0" distR="0">
            <wp:extent cx="5667375" cy="36385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1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1"/>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外墙1+外窗(C0940)+外门(M1540)+外窗(C0940)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35.0</w:t>
            </w:r>
          </w:p>
        </w:tc>
        <w:tc>
          <w:tcPr>
            <w:vAlign w:val="center"/>
          </w:tcPr>
          <w:p>
            <w:pPr>
              <w:rPr>
                <w:sz w:val="21"/>
                <w:szCs w:val="21"/>
              </w:rPr>
            </w:pPr>
            <w:r>
              <w:rPr>
                <w:sz w:val="21"/>
                <w:szCs w:val="21"/>
              </w:rPr>
              <w:t>38.3</w:t>
            </w:r>
          </w:p>
        </w:tc>
        <w:tc>
          <w:tcPr>
            <w:vAlign w:val="center"/>
          </w:tcPr>
          <w:p>
            <w:pPr>
              <w:rPr>
                <w:sz w:val="21"/>
                <w:szCs w:val="21"/>
              </w:rPr>
            </w:pPr>
            <w:r>
              <w:rPr>
                <w:sz w:val="21"/>
                <w:szCs w:val="21"/>
              </w:rPr>
              <w:t>41.6</w:t>
            </w:r>
          </w:p>
        </w:tc>
        <w:tc>
          <w:tcPr>
            <w:vAlign w:val="center"/>
          </w:tcPr>
          <w:p>
            <w:pPr>
              <w:rPr>
                <w:sz w:val="21"/>
                <w:szCs w:val="21"/>
              </w:rPr>
            </w:pPr>
            <w:r>
              <w:rPr>
                <w:sz w:val="21"/>
                <w:szCs w:val="21"/>
              </w:rPr>
              <w:t>44.9</w:t>
            </w:r>
          </w:p>
        </w:tc>
        <w:tc>
          <w:tcPr>
            <w:vAlign w:val="center"/>
          </w:tcPr>
          <w:p>
            <w:pPr>
              <w:rPr>
                <w:sz w:val="21"/>
                <w:szCs w:val="21"/>
              </w:rPr>
            </w:pPr>
            <w:r>
              <w:rPr>
                <w:sz w:val="21"/>
                <w:szCs w:val="21"/>
              </w:rPr>
              <w:t>48.3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外窗(C0940)隔声量(dB)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外门(M1540)隔声量(dB)</w:t>
            </w:r>
          </w:p>
        </w:tc>
        <w:tc>
          <w:tcPr>
            <w:vAlign w:val="center"/>
          </w:tcPr>
          <w:p>
            <w:pPr>
              <w:rPr>
                <w:sz w:val="21"/>
                <w:szCs w:val="21"/>
              </w:rPr>
            </w:pPr>
            <w:r>
              <w:rPr>
                <w:sz w:val="21"/>
                <w:szCs w:val="21"/>
              </w:rPr>
              <w:t>0.0</w:t>
            </w:r>
          </w:p>
        </w:tc>
        <w:tc>
          <w:tcPr>
            <w:vAlign w:val="center"/>
          </w:tcPr>
          <w:p>
            <w:pPr>
              <w:rPr>
                <w:sz w:val="21"/>
                <w:szCs w:val="21"/>
              </w:rPr>
            </w:pPr>
            <w:r>
              <w:rPr>
                <w:sz w:val="21"/>
                <w:szCs w:val="21"/>
              </w:rPr>
              <w:t>31.0</w:t>
            </w:r>
          </w:p>
        </w:tc>
        <w:tc>
          <w:tcPr>
            <w:vAlign w:val="center"/>
          </w:tcPr>
          <w:p>
            <w:pPr>
              <w:rPr>
                <w:sz w:val="21"/>
                <w:szCs w:val="21"/>
              </w:rPr>
            </w:pPr>
            <w:r>
              <w:rPr>
                <w:sz w:val="21"/>
                <w:szCs w:val="21"/>
              </w:rPr>
              <w:t>32.0</w:t>
            </w:r>
          </w:p>
        </w:tc>
        <w:tc>
          <w:tcPr>
            <w:vAlign w:val="center"/>
          </w:tcPr>
          <w:p>
            <w:pPr>
              <w:rPr>
                <w:sz w:val="21"/>
                <w:szCs w:val="21"/>
              </w:rPr>
            </w:pPr>
            <w:r>
              <w:rPr>
                <w:sz w:val="21"/>
                <w:szCs w:val="21"/>
              </w:rPr>
              <w:t>32.0</w:t>
            </w:r>
          </w:p>
        </w:tc>
        <w:tc>
          <w:tcPr>
            <w:vAlign w:val="center"/>
          </w:tcPr>
          <w:p>
            <w:pPr>
              <w:rPr>
                <w:sz w:val="21"/>
                <w:szCs w:val="21"/>
              </w:rPr>
            </w:pPr>
            <w:r>
              <w:rPr>
                <w:sz w:val="21"/>
                <w:szCs w:val="21"/>
              </w:rPr>
              <w:t>37.0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外窗(C0940)隔声量(dB)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5.5</w:t>
            </w:r>
          </w:p>
        </w:tc>
        <w:tc>
          <w:tcPr>
            <w:vAlign w:val="center"/>
          </w:tcPr>
          <w:p>
            <w:pPr>
              <w:rPr>
                <w:sz w:val="21"/>
                <w:szCs w:val="21"/>
              </w:rPr>
            </w:pPr>
            <w:r>
              <w:rPr>
                <w:sz w:val="21"/>
                <w:szCs w:val="21"/>
              </w:rPr>
              <w:t>32.7</w:t>
            </w:r>
          </w:p>
        </w:tc>
        <w:tc>
          <w:tcPr>
            <w:vAlign w:val="center"/>
          </w:tcPr>
          <w:p>
            <w:pPr>
              <w:rPr>
                <w:sz w:val="21"/>
                <w:szCs w:val="21"/>
              </w:rPr>
            </w:pPr>
            <w:r>
              <w:rPr>
                <w:sz w:val="21"/>
                <w:szCs w:val="21"/>
              </w:rPr>
              <w:t>35.2</w:t>
            </w:r>
          </w:p>
        </w:tc>
        <w:tc>
          <w:tcPr>
            <w:vAlign w:val="center"/>
          </w:tcPr>
          <w:p>
            <w:pPr>
              <w:rPr>
                <w:sz w:val="21"/>
                <w:szCs w:val="21"/>
              </w:rPr>
            </w:pPr>
            <w:r>
              <w:rPr>
                <w:sz w:val="21"/>
                <w:szCs w:val="21"/>
              </w:rPr>
              <w:t>35.7</w:t>
            </w:r>
          </w:p>
        </w:tc>
        <w:tc>
          <w:tcPr>
            <w:vAlign w:val="center"/>
          </w:tcPr>
          <w:p>
            <w:pPr>
              <w:rPr>
                <w:sz w:val="21"/>
                <w:szCs w:val="21"/>
              </w:rPr>
            </w:pPr>
            <w:r>
              <w:rPr>
                <w:sz w:val="21"/>
                <w:szCs w:val="21"/>
              </w:rPr>
              <w:t>40.6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6.6</w:t>
            </w:r>
          </w:p>
        </w:tc>
        <w:tc>
          <w:tcPr>
            <w:vAlign w:val="center"/>
          </w:tcPr>
          <w:p>
            <w:pPr>
              <w:rPr>
                <w:sz w:val="21"/>
                <w:szCs w:val="21"/>
              </w:rPr>
            </w:pPr>
            <w:r>
              <w:rPr>
                <w:sz w:val="21"/>
                <w:szCs w:val="21"/>
              </w:rPr>
              <w:t>31.1</w:t>
            </w:r>
          </w:p>
        </w:tc>
        <w:tc>
          <w:tcPr>
            <w:vAlign w:val="center"/>
          </w:tcPr>
          <w:p>
            <w:pPr>
              <w:rPr>
                <w:sz w:val="21"/>
                <w:szCs w:val="21"/>
              </w:rPr>
            </w:pPr>
            <w:r>
              <w:rPr>
                <w:sz w:val="21"/>
                <w:szCs w:val="21"/>
              </w:rPr>
              <w:t>34.0</w:t>
            </w:r>
          </w:p>
        </w:tc>
        <w:tc>
          <w:tcPr>
            <w:vAlign w:val="center"/>
          </w:tcPr>
          <w:p>
            <w:pPr>
              <w:rPr>
                <w:sz w:val="21"/>
                <w:szCs w:val="21"/>
              </w:rPr>
            </w:pPr>
            <w:r>
              <w:rPr>
                <w:sz w:val="21"/>
                <w:szCs w:val="21"/>
              </w:rPr>
              <w:t>35.0</w:t>
            </w:r>
          </w:p>
        </w:tc>
        <w:tc>
          <w:tcPr>
            <w:vAlign w:val="center"/>
          </w:tcPr>
          <w:p>
            <w:pPr>
              <w:rPr>
                <w:sz w:val="21"/>
                <w:szCs w:val="21"/>
              </w:rPr>
            </w:pPr>
            <w:r>
              <w:rPr>
                <w:sz w:val="21"/>
                <w:szCs w:val="21"/>
              </w:rP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21.4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0.304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16</w:t>
            </w:r>
          </w:p>
        </w:tc>
      </w:tr>
    </w:tbl>
    <w:p>
      <w:pPr>
        <w:jc w:val="center"/>
        <w:rPr>
          <w:lang w:val="en-US"/>
        </w:rPr>
      </w:pPr>
      <w:bookmarkStart w:id="57" w:name="组合墙隔声量"/>
      <w:bookmarkEnd w:id="57"/>
    </w:p>
    <w:p>
      <w:pPr>
        <w:pStyle w:val="4"/>
      </w:pPr>
      <w:bookmarkStart w:id="58" w:name="_Toc6973"/>
      <w:r>
        <w:rPr>
          <w:rFonts w:hint="eastAsia"/>
        </w:rPr>
        <w:t>室外环境噪声通过组合墙传到室内的噪声级计算</w:t>
      </w:r>
      <w:bookmarkEnd w:id="58"/>
    </w:p>
    <w:p>
      <w:pPr>
        <w:pStyle w:val="3"/>
        <w:ind w:firstLine="420" w:firstLineChars="200"/>
      </w:pPr>
      <w:r>
        <w:rPr>
          <w:rFonts w:hint="eastAsia"/>
        </w:rPr>
        <w:t>确定室外边界噪声、组合墙隔声量、频谱修正量后，将这些数值代入公式中，即可算得室外环境噪声通过组合墙传到室内的噪声级。</w:t>
      </w:r>
    </w:p>
    <w:p>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pPr>
        <w:pStyle w:val="3"/>
        <w:spacing w:before="240"/>
        <w:ind w:left="540" w:leftChars="300"/>
        <w:rPr>
          <w:lang w:val="en-US"/>
        </w:rPr>
      </w:pPr>
      <w:r>
        <w:rPr>
          <w:rFonts w:hint="eastAsia"/>
          <w:lang w:val="en-US"/>
        </w:rPr>
        <w:t>式中：</w:t>
      </w:r>
      <w:r>
        <w:rPr>
          <w:rFonts w:hint="eastAsia"/>
          <w:position w:val="-12"/>
          <w:lang w:val="en-US"/>
        </w:rPr>
        <w:object>
          <v:shape id="_x0000_i1027" o:spt="75" type="#_x0000_t75" style="height:17.25pt;width:35.2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rFonts w:hint="eastAsia"/>
          <w:lang w:val="en-US"/>
        </w:rPr>
        <w:t>— 室外环境噪声由墙m传到室内的噪声级，dB（A）；</w:t>
      </w:r>
    </w:p>
    <w:p>
      <w:pPr>
        <w:pStyle w:val="3"/>
        <w:ind w:left="540" w:leftChars="300"/>
        <w:rPr>
          <w:lang w:val="en-US"/>
        </w:rPr>
      </w:pPr>
      <m:oMath>
        <m:sSub>
          <m:sSubPr>
            <m:ctrlPr>
              <w:rPr>
                <w:rFonts w:ascii="Cambria Math" w:hAnsi="Cambria Math"/>
                <w:i/>
                <w:lang w:val="en-US"/>
              </w:rPr>
            </m:ctrlPr>
          </m:sSubPr>
          <m:e>
            <m:r>
              <m:rPr/>
              <w:rPr>
                <w:rFonts w:ascii="Cambria Math"/>
                <w:lang w:val="en-US"/>
              </w:rPr>
              <m:t>L</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m:oMath>
        <m:sSub>
          <m:sSubPr>
            <m:ctrlPr>
              <w:rPr>
                <w:rFonts w:ascii="Cambria Math" w:hAnsi="Cambria Math"/>
                <w:i/>
                <w:lang w:val="en-US"/>
              </w:rPr>
            </m:ctrlPr>
          </m:sSubPr>
          <m:e>
            <m:r>
              <m:rPr/>
              <w:rPr>
                <w:rFonts w:ascii="Cambria Math"/>
                <w:lang w:val="en-US"/>
              </w:rPr>
              <m:t>R</m:t>
            </m:r>
            <m:ctrlPr>
              <w:rPr>
                <w:rFonts w:ascii="Cambria Math" w:hAnsi="Cambria Math"/>
                <w:i/>
                <w:lang w:val="en-US"/>
              </w:rPr>
            </m:ctrlPr>
          </m:e>
          <m:sub>
            <m:r>
              <m:rPr/>
              <w:rPr>
                <w:rFonts w:ascii="Cambria Math"/>
                <w:lang w:val="en-US"/>
              </w:rPr>
              <m:t>mW</m:t>
            </m:r>
            <m:ctrlPr>
              <w:rPr>
                <w:rFonts w:ascii="Cambria Math" w:hAnsi="Cambria Math"/>
                <w:i/>
                <w:lang w:val="en-US"/>
              </w:rPr>
            </m:ctrlPr>
          </m:sub>
        </m:sSub>
      </m:oMath>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m:oMath>
        <m:sSub>
          <m:sSubPr>
            <m:ctrlPr>
              <w:rPr>
                <w:rFonts w:ascii="Cambria Math" w:hAnsi="Cambria Math"/>
                <w:i/>
                <w:sz w:val="18"/>
                <w:szCs w:val="18"/>
              </w:rPr>
            </m:ctrlPr>
          </m:sSubPr>
          <m:e>
            <m:r>
              <m:rPr/>
              <w:rPr>
                <w:rFonts w:ascii="Cambria Math"/>
                <w:sz w:val="18"/>
                <w:szCs w:val="18"/>
              </w:rPr>
              <m:t>L</m:t>
            </m:r>
            <m:ctrlPr>
              <w:rPr>
                <w:rFonts w:ascii="Cambria Math" w:hAnsi="Cambria Math"/>
                <w:i/>
                <w:sz w:val="18"/>
                <w:szCs w:val="18"/>
              </w:rPr>
            </m:ctrlPr>
          </m:e>
          <m:sub>
            <m:r>
              <m:rPr/>
              <w:rPr>
                <w:rFonts w:ascii="Cambria Math"/>
                <w:sz w:val="18"/>
                <w:szCs w:val="18"/>
              </w:rPr>
              <m:t>W−N</m:t>
            </m:r>
            <m:ctrlPr>
              <w:rPr>
                <w:rFonts w:ascii="Cambria Math" w:hAnsi="Cambria Math"/>
                <w:i/>
                <w:sz w:val="18"/>
                <w:szCs w:val="18"/>
              </w:rPr>
            </m:ctrlPr>
          </m:sub>
        </m:sSub>
      </m:oMath>
      <w:r>
        <w:rPr>
          <w:rFonts w:hint="eastAsia"/>
        </w:rPr>
        <w:t>— 室外环境噪声过多面组合墙传到室内的总噪声级，dB（A）。</w:t>
      </w:r>
    </w:p>
    <w:p>
      <w:pPr>
        <w:jc w:val="center"/>
      </w:pPr>
      <w:r>
        <w:rPr>
          <w:rFonts w:hint="eastAsia"/>
        </w:rPr>
        <w:t>表</w:t>
      </w:r>
      <w:r>
        <w:t xml:space="preserve">5.8 </w:t>
      </w:r>
      <w:r>
        <w:rPr>
          <w:rFonts w:hint="eastAsia"/>
        </w:rPr>
        <w:t>室外环境噪声通过单面组合墙传到室内的噪声级</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外墙1+外窗(C0940)+外门(M1540)+外窗(C0940)</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16</w:t>
            </w:r>
          </w:p>
        </w:tc>
        <w:tc>
          <w:tcPr>
            <w:vAlign w:val="center"/>
          </w:tcPr>
          <w:p>
            <w:pPr>
              <w:rPr>
                <w:sz w:val="21"/>
                <w:szCs w:val="21"/>
              </w:rPr>
            </w:pPr>
            <w:r>
              <w:rPr>
                <w:sz w:val="21"/>
                <w:szCs w:val="21"/>
              </w:rPr>
              <w:t>16</w:t>
            </w:r>
          </w:p>
        </w:tc>
        <w:tc>
          <w:tcPr>
            <w:vAlign w:val="center"/>
          </w:tcPr>
          <w:p>
            <w:pPr>
              <w:rPr>
                <w:sz w:val="21"/>
                <w:szCs w:val="21"/>
              </w:rPr>
            </w:pPr>
            <w:r>
              <w:rPr>
                <w:sz w:val="21"/>
                <w:szCs w:val="21"/>
              </w:rPr>
              <w:t>39</w:t>
            </w:r>
          </w:p>
        </w:tc>
        <w:tc>
          <w:tcPr>
            <w:vAlign w:val="center"/>
          </w:tcPr>
          <w:p>
            <w:pPr>
              <w:rPr>
                <w:sz w:val="21"/>
                <w:szCs w:val="21"/>
              </w:rPr>
            </w:pPr>
            <w:r>
              <w:rPr>
                <w:sz w:val="21"/>
                <w:szCs w:val="21"/>
              </w:rPr>
              <w:t>29</w:t>
            </w:r>
          </w:p>
        </w:tc>
      </w:tr>
    </w:tbl>
    <w:p>
      <w:pPr>
        <w:jc w:val="center"/>
      </w:pPr>
      <w:bookmarkStart w:id="59" w:name="组合墙传到室内噪声级"/>
      <w:bookmarkEnd w:id="59"/>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60" w:name="昼间室外传声"/>
      <w:r>
        <w:rPr>
          <w:rFonts w:hint="eastAsia"/>
          <w:b/>
          <w:lang w:val="en-US"/>
        </w:rPr>
        <w:t>39</w:t>
      </w:r>
      <w:bookmarkEnd w:id="60"/>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61" w:name="夜间室外传声"/>
      <w:r>
        <w:rPr>
          <w:rFonts w:hint="eastAsia"/>
          <w:b/>
          <w:lang w:val="en-US"/>
        </w:rPr>
        <w:t>29</w:t>
      </w:r>
      <w:bookmarkEnd w:id="61"/>
      <w:r>
        <w:rPr>
          <w:rFonts w:hint="eastAsia"/>
          <w:b/>
          <w:lang w:val="en-US"/>
        </w:rPr>
        <w:t xml:space="preserve"> </w:t>
      </w:r>
      <w:r>
        <w:rPr>
          <w:b/>
        </w:rPr>
        <w:t>dB</w:t>
      </w:r>
      <w:r>
        <w:rPr>
          <w:rFonts w:hint="eastAsia"/>
          <w:b/>
        </w:rPr>
        <w:t>（</w:t>
      </w:r>
      <w:r>
        <w:rPr>
          <w:b/>
        </w:rPr>
        <w:t>A</w:t>
      </w:r>
      <w:r>
        <w:rPr>
          <w:rFonts w:hint="eastAsia"/>
          <w:b/>
        </w:rPr>
        <w:t>）</w:t>
      </w:r>
    </w:p>
    <w:p>
      <w:pPr>
        <w:pStyle w:val="4"/>
      </w:pPr>
      <w:bookmarkStart w:id="62" w:name="_Toc23327"/>
      <w:r>
        <w:rPr>
          <w:rFonts w:hint="eastAsia"/>
        </w:rPr>
        <w:t>室内声源的影响</w:t>
      </w:r>
      <w:bookmarkEnd w:id="62"/>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360" w:leftChars="20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center"/>
        <w:rPr>
          <w:lang w:val="en-US"/>
        </w:rPr>
      </w:pPr>
      <w:r>
        <w:rPr>
          <w:rFonts w:hint="eastAsia"/>
          <w:lang w:val="en-US"/>
        </w:rPr>
        <w:t>表</w:t>
      </w:r>
      <w:r>
        <w:rPr>
          <w:lang w:val="en-US"/>
        </w:rPr>
        <w:t xml:space="preserve">5.9 </w:t>
      </w:r>
      <w:r>
        <w:rPr>
          <w:rFonts w:hint="eastAsia"/>
          <w:lang w:val="en-US"/>
        </w:rPr>
        <w:t>建筑内声源传到室内噪声级</w:t>
      </w:r>
    </w:p>
    <w:tbl>
      <w:tblPr>
        <w:tblStyle w:val="21"/>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63" w:name="建筑内声源传声"/>
      <w:bookmarkEnd w:id="63"/>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4" w:name="_Toc8242"/>
      <w:r>
        <w:rPr>
          <w:rFonts w:hint="eastAsia"/>
        </w:rPr>
        <w:t>室内噪声级计算</w:t>
      </w:r>
      <w:bookmarkEnd w:id="64"/>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28" o:spt="75" type="#_x0000_t75" style="height:16.5pt;width:16.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firstLine="420" w:firstLineChars="200"/>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W−N</m:t>
            </m:r>
            <m:ctrlPr>
              <w:rPr>
                <w:rFonts w:ascii="Cambria Math" w:hAnsi="Cambria Math"/>
                <w:i/>
              </w:rPr>
            </m:ctrlPr>
          </m:sub>
        </m:sSub>
      </m:oMath>
      <w:r>
        <w:rPr>
          <w:rFonts w:hint="eastAsia"/>
        </w:rPr>
        <w:t>—室外环境噪声传到室内的噪声级，</w:t>
      </w:r>
      <w:r>
        <w:t>dB</w:t>
      </w:r>
      <w:r>
        <w:rPr>
          <w:rFonts w:hint="eastAsia"/>
        </w:rPr>
        <w:t>（</w:t>
      </w:r>
      <w:r>
        <w:t>A</w:t>
      </w:r>
      <w:r>
        <w:rPr>
          <w:rFonts w:hint="eastAsia"/>
        </w:rPr>
        <w:t>）；</w:t>
      </w:r>
    </w:p>
    <w:p>
      <w:pPr>
        <w:pStyle w:val="3"/>
        <w:ind w:left="540" w:leftChars="300"/>
      </w:pPr>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X</m:t>
            </m:r>
            <m:ctrlPr>
              <w:rPr>
                <w:rFonts w:ascii="Cambria Math" w:hAnsi="Cambria Math"/>
                <w:i/>
              </w:rPr>
            </m:ctrlPr>
          </m:sub>
        </m:sSub>
      </m:oMath>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单位：dB（A） </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低限:≤45,高要求:≤40</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满足高要求</w:t>
            </w:r>
          </w:p>
        </w:tc>
      </w:tr>
    </w:tbl>
    <w:p>
      <w:pPr>
        <w:jc w:val="center"/>
      </w:pPr>
      <w:bookmarkStart w:id="65" w:name="最不利房间室内噪声级统计"/>
      <w:bookmarkEnd w:id="65"/>
      <w:bookmarkStart w:id="66" w:name="典型房间室内噪声值"/>
      <w:bookmarkEnd w:id="66"/>
    </w:p>
    <w:p>
      <w:pPr>
        <w:pStyle w:val="4"/>
      </w:pPr>
      <w:bookmarkStart w:id="67" w:name="_Toc2240"/>
      <w:r>
        <w:rPr>
          <w:rFonts w:hint="eastAsia"/>
        </w:rPr>
        <w:t>小结</w:t>
      </w:r>
      <w:bookmarkEnd w:id="67"/>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ind w:right="-2"/>
        <w:jc w:val="right"/>
      </w:pPr>
      <w:r>
        <w:t>表5.11  主要功能房间室内噪声值                    单位：dB（A）</w:t>
      </w:r>
    </w:p>
    <w:tbl>
      <w:tblPr>
        <w:tblStyle w:val="21"/>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1040,1002,1003</w:t>
            </w:r>
            <w:r>
              <w:rPr>
                <w:sz w:val="21"/>
                <w:szCs w:val="21"/>
              </w:rPr>
              <w:br w:type="textWrapping"/>
            </w:r>
            <w:r>
              <w:rPr>
                <w:sz w:val="21"/>
                <w:szCs w:val="21"/>
              </w:rPr>
              <w:t>等123个房间</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jc w:val="center"/>
      </w:pPr>
      <w:bookmarkStart w:id="68" w:name="主要功能房间室内噪声值"/>
      <w:bookmarkEnd w:id="68"/>
    </w:p>
    <w:bookmarkEnd w:id="31"/>
    <w:p>
      <w:pPr>
        <w:pStyle w:val="2"/>
        <w:rPr>
          <w:kern w:val="2"/>
        </w:rPr>
      </w:pPr>
      <w:bookmarkStart w:id="69" w:name="_Toc5622"/>
      <w:r>
        <w:rPr>
          <w:rFonts w:hint="eastAsia"/>
          <w:kern w:val="2"/>
        </w:rPr>
        <w:t>结论</w:t>
      </w:r>
      <w:bookmarkEnd w:id="69"/>
    </w:p>
    <w:p>
      <w:pPr>
        <w:pStyle w:val="3"/>
        <w:ind w:firstLine="420" w:firstLineChars="200"/>
        <w:rPr>
          <w:rFonts w:ascii="宋体" w:hAnsi="宋体"/>
        </w:rPr>
      </w:pPr>
      <w:r>
        <w:t>根据</w:t>
      </w:r>
      <w:bookmarkStart w:id="70" w:name="地方标准名称3"/>
      <w:r>
        <w:t>河北省《绿色建筑评价标准》DB13(J)/T  8427-2021</w:t>
      </w:r>
      <w:bookmarkEnd w:id="70"/>
      <w:r>
        <w:rPr>
          <w:rFonts w:hint="eastAsia"/>
        </w:rPr>
        <w:t>、</w:t>
      </w:r>
      <w:r>
        <w:t>《绿色建筑评价标准》GB/T 50378-2019和《民用建筑隔声设计规范》GB 50118-2010评价要求，</w:t>
      </w:r>
      <w:r>
        <w:rPr>
          <w:rFonts w:hint="eastAsia" w:ascii="宋体" w:hAnsi="宋体"/>
        </w:rPr>
        <w:t>本项目室内噪声级评价结论汇总如下表：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1"/>
        <w:tblW w:w="9356"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954"/>
        <w:gridCol w:w="1417"/>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jc w:val="center"/>
        </w:trPr>
        <w:tc>
          <w:tcPr>
            <w:tcW w:w="1261" w:type="dxa"/>
            <w:shd w:val="clear" w:color="auto" w:fill="E6E6E6"/>
            <w:vAlign w:val="center"/>
          </w:tcPr>
          <w:p>
            <w:pPr>
              <w:pStyle w:val="3"/>
              <w:jc w:val="center"/>
              <w:rPr>
                <w:sz w:val="18"/>
                <w:szCs w:val="18"/>
              </w:rPr>
            </w:pPr>
            <w:r>
              <w:rPr>
                <w:sz w:val="18"/>
                <w:szCs w:val="18"/>
              </w:rPr>
              <w:t>检查项</w:t>
            </w:r>
          </w:p>
        </w:tc>
        <w:tc>
          <w:tcPr>
            <w:tcW w:w="5954" w:type="dxa"/>
            <w:shd w:val="clear" w:color="auto" w:fill="E6E6E6"/>
          </w:tcPr>
          <w:p>
            <w:pPr>
              <w:pStyle w:val="3"/>
              <w:jc w:val="center"/>
              <w:rPr>
                <w:sz w:val="18"/>
                <w:szCs w:val="18"/>
              </w:rPr>
            </w:pPr>
            <w:r>
              <w:rPr>
                <w:rFonts w:hint="eastAsia"/>
                <w:sz w:val="18"/>
                <w:szCs w:val="18"/>
              </w:rPr>
              <w:t>评价</w:t>
            </w:r>
            <w:r>
              <w:rPr>
                <w:sz w:val="18"/>
                <w:szCs w:val="18"/>
              </w:rPr>
              <w:t>依据</w:t>
            </w:r>
          </w:p>
        </w:tc>
        <w:tc>
          <w:tcPr>
            <w:tcW w:w="1417"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jc w:val="center"/>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954" w:type="dxa"/>
          </w:tcPr>
          <w:p>
            <w:pPr>
              <w:pStyle w:val="3"/>
              <w:rPr>
                <w:b/>
                <w:sz w:val="18"/>
                <w:szCs w:val="18"/>
              </w:rPr>
            </w:pPr>
            <w:r>
              <w:rPr>
                <w:rFonts w:hint="eastAsia"/>
                <w:b/>
                <w:sz w:val="18"/>
                <w:szCs w:val="18"/>
              </w:rPr>
              <w:t>控制项</w:t>
            </w:r>
            <w:r>
              <w:rPr>
                <w:b/>
                <w:sz w:val="18"/>
                <w:szCs w:val="18"/>
              </w:rPr>
              <w:t>：</w:t>
            </w:r>
          </w:p>
          <w:p>
            <w:pPr>
              <w:pStyle w:val="3"/>
              <w:rPr>
                <w:sz w:val="18"/>
                <w:szCs w:val="18"/>
              </w:rPr>
            </w:pPr>
            <w:r>
              <w:rPr>
                <w:sz w:val="18"/>
                <w:szCs w:val="18"/>
              </w:rPr>
              <w:t xml:space="preserve">5.1.4  </w:t>
            </w:r>
            <w:r>
              <w:rPr>
                <w:rFonts w:hint="eastAsia"/>
                <w:sz w:val="18"/>
                <w:szCs w:val="18"/>
              </w:rPr>
              <w:t>主要功能房间的室内噪声级应满足现行国家标准《民用建筑隔声设计规范》</w:t>
            </w:r>
            <w:r>
              <w:rPr>
                <w:sz w:val="18"/>
                <w:szCs w:val="18"/>
              </w:rPr>
              <w:t>GB 50118</w:t>
            </w:r>
            <w:r>
              <w:rPr>
                <w:rFonts w:hint="eastAsia"/>
                <w:sz w:val="18"/>
                <w:szCs w:val="18"/>
              </w:rPr>
              <w:t>中的低限要求。</w:t>
            </w:r>
          </w:p>
        </w:tc>
        <w:tc>
          <w:tcPr>
            <w:tcW w:w="1417" w:type="dxa"/>
            <w:vAlign w:val="center"/>
          </w:tcPr>
          <w:p>
            <w:pPr>
              <w:jc w:val="center"/>
            </w:pPr>
            <w:bookmarkStart w:id="71" w:name="室内噪声控制项结论"/>
            <w:r>
              <w:t>满足</w:t>
            </w:r>
            <w:bookmarkEnd w:id="71"/>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jc w:val="center"/>
        </w:trPr>
        <w:tc>
          <w:tcPr>
            <w:tcW w:w="1261" w:type="dxa"/>
            <w:vMerge w:val="continue"/>
            <w:shd w:val="clear" w:color="auto" w:fill="E6E6E6"/>
            <w:vAlign w:val="center"/>
          </w:tcPr>
          <w:p>
            <w:pPr>
              <w:pStyle w:val="3"/>
              <w:rPr>
                <w:sz w:val="18"/>
                <w:szCs w:val="18"/>
              </w:rPr>
            </w:pPr>
          </w:p>
        </w:tc>
        <w:tc>
          <w:tcPr>
            <w:tcW w:w="5954" w:type="dxa"/>
          </w:tcPr>
          <w:p>
            <w:pPr>
              <w:pStyle w:val="3"/>
              <w:rPr>
                <w:b/>
                <w:sz w:val="18"/>
                <w:szCs w:val="18"/>
              </w:rPr>
            </w:pPr>
            <w:r>
              <w:rPr>
                <w:rFonts w:hint="eastAsia"/>
                <w:b/>
                <w:sz w:val="18"/>
                <w:szCs w:val="18"/>
              </w:rPr>
              <w:t>评分项：</w:t>
            </w:r>
          </w:p>
          <w:p>
            <w:pPr>
              <w:pStyle w:val="3"/>
              <w:rPr>
                <w:sz w:val="18"/>
                <w:szCs w:val="18"/>
              </w:rPr>
            </w:pPr>
            <w:bookmarkStart w:id="72" w:name="室内噪声级条文内容2"/>
            <w:bookmarkEnd w:id="72"/>
            <w:r>
              <w:rPr>
                <w:sz w:val="18"/>
                <w:szCs w:val="18"/>
              </w:rPr>
              <w:t>5.2.6 采取措施优化主要功能房间的室内声环境，评价总分值为8分。噪声级达到现行国家标准《民用建筑隔声设计规范》GB 50118中的低限标准限值和高要求标准限值的平均值，且低于低限标准限值3dB，得4分；达到高要求标准限值，得8分。</w:t>
            </w:r>
          </w:p>
        </w:tc>
        <w:tc>
          <w:tcPr>
            <w:tcW w:w="1417" w:type="dxa"/>
            <w:vAlign w:val="center"/>
          </w:tcPr>
          <w:p>
            <w:pPr>
              <w:jc w:val="center"/>
            </w:pPr>
            <w:bookmarkStart w:id="73" w:name="室内噪声评分项结论"/>
            <w:r>
              <w:t>满足高要求</w:t>
            </w:r>
            <w:bookmarkEnd w:id="73"/>
          </w:p>
        </w:tc>
        <w:tc>
          <w:tcPr>
            <w:tcW w:w="724" w:type="dxa"/>
            <w:vAlign w:val="center"/>
          </w:tcPr>
          <w:p>
            <w:pPr>
              <w:jc w:val="center"/>
              <w:rPr>
                <w:b/>
                <w:bCs/>
              </w:rPr>
            </w:pPr>
            <w:bookmarkStart w:id="74" w:name="室内噪声得分"/>
            <w:r>
              <w:rPr>
                <w:b/>
                <w:bCs/>
              </w:rPr>
              <w:t>8</w:t>
            </w:r>
            <w:bookmarkEnd w:id="74"/>
            <w:r>
              <w:rPr>
                <w:rFonts w:hint="eastAsia"/>
                <w:b/>
                <w:bCs/>
              </w:rPr>
              <w:t>分</w:t>
            </w:r>
          </w:p>
        </w:tc>
      </w:tr>
    </w:tbl>
    <w:p>
      <w:pPr>
        <w:pStyle w:val="13"/>
        <w:spacing w:line="360" w:lineRule="auto"/>
        <w:ind w:firstLine="0" w:firstLineChars="0"/>
        <w:rPr>
          <w:rFonts w:ascii="宋体" w:hAnsi="宋体" w:eastAsia="宋体"/>
          <w:sz w:val="21"/>
          <w:szCs w:val="21"/>
        </w:rPr>
      </w:pPr>
    </w:p>
    <w:p>
      <w:pPr>
        <w:snapToGrid/>
        <w:rPr>
          <w:rFonts w:ascii="宋体" w:hAnsi="宋体" w:eastAsia="宋体"/>
          <w:kern w:val="2"/>
          <w:sz w:val="21"/>
          <w:szCs w:val="21"/>
          <w:lang w:val="en-US"/>
        </w:rPr>
      </w:pPr>
      <w:r>
        <w:rPr>
          <w:rFonts w:ascii="宋体" w:hAnsi="宋体" w:eastAsia="宋体"/>
          <w:sz w:val="21"/>
          <w:szCs w:val="21"/>
        </w:rPr>
        <w:br w:type="page"/>
      </w:r>
    </w:p>
    <w:p>
      <w:pPr>
        <w:pStyle w:val="13"/>
        <w:spacing w:line="360" w:lineRule="auto"/>
        <w:ind w:firstLine="0" w:firstLineChars="0"/>
        <w:rPr>
          <w:rFonts w:ascii="宋体" w:hAnsi="宋体" w:eastAsia="宋体"/>
          <w:sz w:val="21"/>
          <w:szCs w:val="21"/>
        </w:rPr>
        <w:sectPr>
          <w:headerReference r:id="rId4" w:type="default"/>
          <w:footerReference r:id="rId5"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75" w:name="_Toc3880"/>
      <w:r>
        <w:rPr>
          <w:rFonts w:hint="eastAsia"/>
          <w:kern w:val="2"/>
        </w:rPr>
        <w:t>附录：室内噪声级详表</w:t>
      </w:r>
      <w:bookmarkEnd w:id="75"/>
    </w:p>
    <w:tbl>
      <w:tblPr>
        <w:tblStyle w:val="21"/>
        <w:tblW w:w="1392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普通办公室[1001]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38</w:t>
            </w:r>
          </w:p>
        </w:tc>
        <w:tc>
          <w:tcPr>
            <w:vAlign w:val="center"/>
          </w:tcPr>
          <w:p>
            <w:pPr>
              <w:jc w:val="center"/>
              <w:rPr>
                <w:sz w:val="21"/>
                <w:szCs w:val="21"/>
              </w:rPr>
            </w:pPr>
            <w:r>
              <w:rPr>
                <w:sz w:val="21"/>
                <w:szCs w:val="21"/>
              </w:rPr>
              <w:t>28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38</w:t>
            </w:r>
          </w:p>
        </w:tc>
        <w:tc>
          <w:tcPr>
            <w:shd w:val="clear" w:color="auto" w:fill="E6E6E6"/>
            <w:vAlign w:val="center"/>
          </w:tcPr>
          <w:p>
            <w:pPr>
              <w:jc w:val="center"/>
              <w:rPr>
                <w:sz w:val="21"/>
                <w:szCs w:val="21"/>
              </w:rPr>
            </w:pPr>
            <w:r>
              <w:rPr>
                <w:b/>
                <w:sz w:val="21"/>
                <w:szCs w:val="21"/>
              </w:rPr>
              <w:t>28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普通办公室[1019]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普通办公室[1040]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普通办公室[1041]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39</w:t>
            </w:r>
          </w:p>
        </w:tc>
        <w:tc>
          <w:tcPr>
            <w:vAlign w:val="center"/>
          </w:tcPr>
          <w:p>
            <w:pPr>
              <w:jc w:val="center"/>
              <w:rPr>
                <w:sz w:val="21"/>
                <w:szCs w:val="21"/>
              </w:rPr>
            </w:pPr>
            <w:r>
              <w:rPr>
                <w:sz w:val="21"/>
                <w:szCs w:val="21"/>
              </w:rPr>
              <w:t>29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39</w:t>
            </w:r>
          </w:p>
        </w:tc>
        <w:tc>
          <w:tcPr>
            <w:shd w:val="clear" w:color="auto" w:fill="E6E6E6"/>
            <w:vAlign w:val="center"/>
          </w:tcPr>
          <w:p>
            <w:pPr>
              <w:jc w:val="center"/>
              <w:rPr>
                <w:sz w:val="21"/>
                <w:szCs w:val="21"/>
              </w:rPr>
            </w:pPr>
            <w:r>
              <w:rPr>
                <w:b/>
                <w:sz w:val="21"/>
                <w:szCs w:val="21"/>
              </w:rPr>
              <w:t>29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普通办公室[2002]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普通办公室[2004]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普通办公室[2005]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普通办公室[2008]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普通办公室[2009]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普通办公室[2039]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w:t>
            </w:r>
          </w:p>
        </w:tc>
        <w:tc>
          <w:tcPr>
            <w:vMerge w:val="restart"/>
            <w:vAlign w:val="center"/>
          </w:tcPr>
          <w:p>
            <w:pPr>
              <w:rPr>
                <w:sz w:val="21"/>
                <w:szCs w:val="21"/>
              </w:rPr>
            </w:pPr>
          </w:p>
        </w:tc>
        <w:tc>
          <w:tcPr>
            <w:vAlign w:val="center"/>
          </w:tcPr>
          <w:p>
            <w:pPr>
              <w:rPr>
                <w:sz w:val="21"/>
                <w:szCs w:val="21"/>
              </w:rPr>
            </w:pPr>
            <w:r>
              <w:rPr>
                <w:sz w:val="21"/>
                <w:szCs w:val="21"/>
              </w:rPr>
              <w:t>普通办公室[3002]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普通办公室[3004]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普通办公室[3005]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普通办公室[3008]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普通办公室[3009]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普通办公室[3019]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普通办公室[3040]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普通办公室[3041]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普通办公室[3042]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普通办公室[3047]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36</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36</w:t>
            </w:r>
          </w:p>
        </w:tc>
        <w:tc>
          <w:tcPr>
            <w:shd w:val="clear" w:color="auto" w:fill="E6E6E6"/>
            <w:vAlign w:val="center"/>
          </w:tcPr>
          <w:p>
            <w:pPr>
              <w:jc w:val="center"/>
              <w:rPr>
                <w:sz w:val="21"/>
                <w:szCs w:val="21"/>
              </w:rPr>
            </w:pPr>
            <w:r>
              <w:rPr>
                <w:b/>
                <w:sz w:val="21"/>
                <w:szCs w:val="21"/>
              </w:rPr>
              <w:t>26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pStyle w:val="3"/>
        <w:jc w:val="center"/>
      </w:pPr>
      <w:bookmarkStart w:id="76" w:name="室内噪声级附录表"/>
      <w:bookmarkEnd w:id="76"/>
    </w:p>
    <w:p>
      <w:pPr>
        <w:pStyle w:val="13"/>
        <w:spacing w:line="360" w:lineRule="auto"/>
        <w:ind w:firstLine="0" w:firstLineChars="0"/>
        <w:rPr>
          <w:rFonts w:ascii="宋体" w:hAnsi="宋体" w:eastAsia="宋体"/>
          <w:sz w:val="21"/>
          <w:szCs w:val="21"/>
        </w:rPr>
      </w:pPr>
    </w:p>
    <w:sectPr>
      <w:pgSz w:w="16838" w:h="11906" w:orient="landscape"/>
      <w:pgMar w:top="1418" w:right="1440" w:bottom="1418" w:left="144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rPr>
        <w:rStyle w:val="24"/>
      </w:rPr>
      <w:fldChar w:fldCharType="begin"/>
    </w:r>
    <w:r>
      <w:rPr>
        <w:rStyle w:val="24"/>
      </w:rPr>
      <w:instrText xml:space="preserve">PAGE  </w:instrText>
    </w:r>
    <w:r>
      <w:rPr>
        <w:rStyle w:val="24"/>
      </w:rPr>
      <w:fldChar w:fldCharType="end"/>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fldChar w:fldCharType="begin"/>
    </w:r>
    <w:r>
      <w:instrText xml:space="preserve"> HYPERLINK "http://www.gbsware.cn/" </w:instrText>
    </w:r>
    <w:r>
      <w:fldChar w:fldCharType="separate"/>
    </w:r>
    <w:r>
      <w:rPr>
        <w:rStyle w:val="25"/>
        <w:color w:val="auto"/>
        <w:u w:val="none"/>
      </w:rPr>
      <w:t>http://www.gbsware.cn/</w:t>
    </w:r>
    <w:r>
      <w:rPr>
        <w:rStyle w:val="25"/>
        <w:color w:val="auto"/>
        <w:u w:val="none"/>
      </w:rPr>
      <w:fldChar w:fldCharType="end"/>
    </w:r>
    <w:r>
      <w:ptab w:relativeTo="margin" w:alignment="center" w:leader="none"/>
    </w:r>
    <w:r>
      <w:fldChar w:fldCharType="begin"/>
    </w:r>
    <w:r>
      <w:instrText xml:space="preserve"> PAGE  \* Arabic  \* MERGEFORMAT </w:instrText>
    </w:r>
    <w:r>
      <w:fldChar w:fldCharType="separate"/>
    </w:r>
    <w:r>
      <w:t>8</w:t>
    </w:r>
    <w:r>
      <w:fldChar w:fldCharType="end"/>
    </w:r>
    <w:r>
      <w:rPr>
        <w:b/>
      </w:rPr>
      <w:t>/</w:t>
    </w:r>
    <w:r>
      <w:fldChar w:fldCharType="begin"/>
    </w:r>
    <w:r>
      <w:instrText xml:space="preserve"> =</w:instrText>
    </w:r>
    <w:r>
      <w:fldChar w:fldCharType="begin"/>
    </w:r>
    <w:r>
      <w:instrText xml:space="preserve"> NUMPAGES   </w:instrText>
    </w:r>
    <w:r>
      <w:fldChar w:fldCharType="separate"/>
    </w:r>
    <w:r>
      <w:instrText xml:space="preserve">11</w:instrText>
    </w:r>
    <w:r>
      <w:fldChar w:fldCharType="end"/>
    </w:r>
    <w:r>
      <w:instrText xml:space="preserve">-2\* Arabic  \* MERGEFORMAT </w:instrText>
    </w:r>
    <w:r>
      <w:fldChar w:fldCharType="separate"/>
    </w:r>
    <w:r>
      <w:rPr>
        <w:b/>
      </w:rPr>
      <w:t>9</w:t>
    </w:r>
    <w:r>
      <w:fldChar w:fldCharType="end"/>
    </w:r>
    <w:r>
      <w:ptab w:relativeTo="margin" w:alignment="right" w:leader="none"/>
    </w:r>
    <w: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298406353" name="Picture 298406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406353" name="Picture 29840635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4"/>
  </w:num>
  <w:num w:numId="4">
    <w:abstractNumId w:val="5"/>
  </w:num>
  <w:num w:numId="5">
    <w:abstractNumId w:val="2"/>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kN2I1ZDNiYWI0MGMzN2Y3OWUwMWNlZDA2NjMwYjYifQ=="/>
  </w:docVars>
  <w:rsids>
    <w:rsidRoot w:val="57904C57"/>
    <w:rsid w:val="000057CC"/>
    <w:rsid w:val="00014D66"/>
    <w:rsid w:val="000178BE"/>
    <w:rsid w:val="00025747"/>
    <w:rsid w:val="00031CFC"/>
    <w:rsid w:val="00036BD4"/>
    <w:rsid w:val="00037A4C"/>
    <w:rsid w:val="000404C5"/>
    <w:rsid w:val="000414FB"/>
    <w:rsid w:val="00045E66"/>
    <w:rsid w:val="00050AA8"/>
    <w:rsid w:val="000511BF"/>
    <w:rsid w:val="000528F3"/>
    <w:rsid w:val="0005344B"/>
    <w:rsid w:val="000534D9"/>
    <w:rsid w:val="0005771E"/>
    <w:rsid w:val="00057B4E"/>
    <w:rsid w:val="00060B85"/>
    <w:rsid w:val="00060FF9"/>
    <w:rsid w:val="0006480D"/>
    <w:rsid w:val="000727CB"/>
    <w:rsid w:val="00076CD8"/>
    <w:rsid w:val="000776F0"/>
    <w:rsid w:val="00077D16"/>
    <w:rsid w:val="00081562"/>
    <w:rsid w:val="00085CFA"/>
    <w:rsid w:val="000863B4"/>
    <w:rsid w:val="0008712B"/>
    <w:rsid w:val="00091344"/>
    <w:rsid w:val="000915B5"/>
    <w:rsid w:val="00092658"/>
    <w:rsid w:val="00092D32"/>
    <w:rsid w:val="0009435E"/>
    <w:rsid w:val="00094482"/>
    <w:rsid w:val="000A0031"/>
    <w:rsid w:val="000A03F0"/>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2D9C"/>
    <w:rsid w:val="000F561E"/>
    <w:rsid w:val="000F5EC3"/>
    <w:rsid w:val="000F79E6"/>
    <w:rsid w:val="000F7EF2"/>
    <w:rsid w:val="001026AB"/>
    <w:rsid w:val="00103ACD"/>
    <w:rsid w:val="00104873"/>
    <w:rsid w:val="00105036"/>
    <w:rsid w:val="0010554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3537"/>
    <w:rsid w:val="0019794E"/>
    <w:rsid w:val="001A0105"/>
    <w:rsid w:val="001A13CA"/>
    <w:rsid w:val="001A7684"/>
    <w:rsid w:val="001B08D1"/>
    <w:rsid w:val="001B2ACF"/>
    <w:rsid w:val="001B6384"/>
    <w:rsid w:val="001C2C8E"/>
    <w:rsid w:val="001C49A2"/>
    <w:rsid w:val="001C55F8"/>
    <w:rsid w:val="001C7C1F"/>
    <w:rsid w:val="001D3341"/>
    <w:rsid w:val="001D36A8"/>
    <w:rsid w:val="001D4904"/>
    <w:rsid w:val="001D4E1F"/>
    <w:rsid w:val="001D4EC8"/>
    <w:rsid w:val="001D78E8"/>
    <w:rsid w:val="001D7F24"/>
    <w:rsid w:val="001E146B"/>
    <w:rsid w:val="001E5D99"/>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47E2F"/>
    <w:rsid w:val="00250E68"/>
    <w:rsid w:val="00254D0F"/>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4D5"/>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19B"/>
    <w:rsid w:val="002E0528"/>
    <w:rsid w:val="002E1A42"/>
    <w:rsid w:val="002E541A"/>
    <w:rsid w:val="002E5A00"/>
    <w:rsid w:val="002E5AB8"/>
    <w:rsid w:val="002E69FD"/>
    <w:rsid w:val="002E6B80"/>
    <w:rsid w:val="002E6D61"/>
    <w:rsid w:val="002E76F9"/>
    <w:rsid w:val="002F1798"/>
    <w:rsid w:val="002F5249"/>
    <w:rsid w:val="002F5CD3"/>
    <w:rsid w:val="002F6F9C"/>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27D8"/>
    <w:rsid w:val="00346C12"/>
    <w:rsid w:val="00346F5A"/>
    <w:rsid w:val="00351EC1"/>
    <w:rsid w:val="003562FB"/>
    <w:rsid w:val="00363F69"/>
    <w:rsid w:val="00364CDF"/>
    <w:rsid w:val="00364E1A"/>
    <w:rsid w:val="003657AB"/>
    <w:rsid w:val="0036676D"/>
    <w:rsid w:val="00370348"/>
    <w:rsid w:val="003708F9"/>
    <w:rsid w:val="00371604"/>
    <w:rsid w:val="00375523"/>
    <w:rsid w:val="00377318"/>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6B57"/>
    <w:rsid w:val="003C7514"/>
    <w:rsid w:val="003D016F"/>
    <w:rsid w:val="003D4326"/>
    <w:rsid w:val="003D4398"/>
    <w:rsid w:val="003D7A39"/>
    <w:rsid w:val="003E0BD9"/>
    <w:rsid w:val="003E4673"/>
    <w:rsid w:val="003E4858"/>
    <w:rsid w:val="003E601A"/>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4752"/>
    <w:rsid w:val="00425D7C"/>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3BAE"/>
    <w:rsid w:val="00464236"/>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3845"/>
    <w:rsid w:val="00503870"/>
    <w:rsid w:val="00506614"/>
    <w:rsid w:val="00507685"/>
    <w:rsid w:val="00510371"/>
    <w:rsid w:val="005104A7"/>
    <w:rsid w:val="00511A9C"/>
    <w:rsid w:val="00514190"/>
    <w:rsid w:val="00514B91"/>
    <w:rsid w:val="00514D6D"/>
    <w:rsid w:val="00514FC3"/>
    <w:rsid w:val="00515DEA"/>
    <w:rsid w:val="00515E43"/>
    <w:rsid w:val="005174FD"/>
    <w:rsid w:val="00517BC7"/>
    <w:rsid w:val="005208C1"/>
    <w:rsid w:val="005215FB"/>
    <w:rsid w:val="00524556"/>
    <w:rsid w:val="00524CCD"/>
    <w:rsid w:val="00525DEC"/>
    <w:rsid w:val="00525F3C"/>
    <w:rsid w:val="00534262"/>
    <w:rsid w:val="00537554"/>
    <w:rsid w:val="005411C1"/>
    <w:rsid w:val="00541ECB"/>
    <w:rsid w:val="00542AFF"/>
    <w:rsid w:val="0054531E"/>
    <w:rsid w:val="00546AB4"/>
    <w:rsid w:val="00547BEE"/>
    <w:rsid w:val="00550B7C"/>
    <w:rsid w:val="00554A1F"/>
    <w:rsid w:val="00555081"/>
    <w:rsid w:val="005606FC"/>
    <w:rsid w:val="005636CC"/>
    <w:rsid w:val="005650D2"/>
    <w:rsid w:val="00567CE7"/>
    <w:rsid w:val="005743BE"/>
    <w:rsid w:val="0057558A"/>
    <w:rsid w:val="005755BA"/>
    <w:rsid w:val="0057600E"/>
    <w:rsid w:val="00577B62"/>
    <w:rsid w:val="00580FAB"/>
    <w:rsid w:val="005837AF"/>
    <w:rsid w:val="00583AB5"/>
    <w:rsid w:val="005869B1"/>
    <w:rsid w:val="00586CF1"/>
    <w:rsid w:val="00592CC8"/>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E10C1"/>
    <w:rsid w:val="005E18E7"/>
    <w:rsid w:val="005E229A"/>
    <w:rsid w:val="005E245E"/>
    <w:rsid w:val="005E4EEF"/>
    <w:rsid w:val="005E5FD4"/>
    <w:rsid w:val="005E6C5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4EC7"/>
    <w:rsid w:val="00675679"/>
    <w:rsid w:val="006808C9"/>
    <w:rsid w:val="0068126C"/>
    <w:rsid w:val="00686FCB"/>
    <w:rsid w:val="0068795A"/>
    <w:rsid w:val="00691F24"/>
    <w:rsid w:val="00692963"/>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380D"/>
    <w:rsid w:val="00706AF7"/>
    <w:rsid w:val="007129B1"/>
    <w:rsid w:val="007135DF"/>
    <w:rsid w:val="007155F6"/>
    <w:rsid w:val="00715EC8"/>
    <w:rsid w:val="00717045"/>
    <w:rsid w:val="00721868"/>
    <w:rsid w:val="00722E22"/>
    <w:rsid w:val="00724723"/>
    <w:rsid w:val="00727126"/>
    <w:rsid w:val="00727FFA"/>
    <w:rsid w:val="007317C9"/>
    <w:rsid w:val="00733066"/>
    <w:rsid w:val="00735181"/>
    <w:rsid w:val="00736D39"/>
    <w:rsid w:val="0073754A"/>
    <w:rsid w:val="00740532"/>
    <w:rsid w:val="00741B24"/>
    <w:rsid w:val="00743BA4"/>
    <w:rsid w:val="00744F2F"/>
    <w:rsid w:val="00747928"/>
    <w:rsid w:val="0075443C"/>
    <w:rsid w:val="00754A24"/>
    <w:rsid w:val="00756C55"/>
    <w:rsid w:val="007577A6"/>
    <w:rsid w:val="00762546"/>
    <w:rsid w:val="007632E0"/>
    <w:rsid w:val="00773408"/>
    <w:rsid w:val="007746B0"/>
    <w:rsid w:val="00775918"/>
    <w:rsid w:val="00776355"/>
    <w:rsid w:val="007770D0"/>
    <w:rsid w:val="00781ECB"/>
    <w:rsid w:val="0078219D"/>
    <w:rsid w:val="00784655"/>
    <w:rsid w:val="007879E7"/>
    <w:rsid w:val="00791CFE"/>
    <w:rsid w:val="00797DB3"/>
    <w:rsid w:val="007A07BE"/>
    <w:rsid w:val="007A0F19"/>
    <w:rsid w:val="007A3AE6"/>
    <w:rsid w:val="007B0CF4"/>
    <w:rsid w:val="007B115E"/>
    <w:rsid w:val="007B11C1"/>
    <w:rsid w:val="007B4074"/>
    <w:rsid w:val="007B5194"/>
    <w:rsid w:val="007B5514"/>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11404"/>
    <w:rsid w:val="0082074F"/>
    <w:rsid w:val="008220AE"/>
    <w:rsid w:val="0082791A"/>
    <w:rsid w:val="00830C52"/>
    <w:rsid w:val="00831421"/>
    <w:rsid w:val="00840EAF"/>
    <w:rsid w:val="00843B16"/>
    <w:rsid w:val="0085267C"/>
    <w:rsid w:val="008536E6"/>
    <w:rsid w:val="008547FE"/>
    <w:rsid w:val="00856E49"/>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87DE8"/>
    <w:rsid w:val="008903B1"/>
    <w:rsid w:val="00890E33"/>
    <w:rsid w:val="00891D9A"/>
    <w:rsid w:val="0089206F"/>
    <w:rsid w:val="00892213"/>
    <w:rsid w:val="00892422"/>
    <w:rsid w:val="00894553"/>
    <w:rsid w:val="00894C68"/>
    <w:rsid w:val="00896EA4"/>
    <w:rsid w:val="008A692A"/>
    <w:rsid w:val="008A6DB3"/>
    <w:rsid w:val="008A746C"/>
    <w:rsid w:val="008A75CE"/>
    <w:rsid w:val="008A7658"/>
    <w:rsid w:val="008B1C51"/>
    <w:rsid w:val="008B1D94"/>
    <w:rsid w:val="008B23F9"/>
    <w:rsid w:val="008B3AA6"/>
    <w:rsid w:val="008B6C1D"/>
    <w:rsid w:val="008C13E2"/>
    <w:rsid w:val="008D065A"/>
    <w:rsid w:val="008D41C6"/>
    <w:rsid w:val="008D4C63"/>
    <w:rsid w:val="008D5551"/>
    <w:rsid w:val="008D63B9"/>
    <w:rsid w:val="008D7009"/>
    <w:rsid w:val="008E01F1"/>
    <w:rsid w:val="008E2650"/>
    <w:rsid w:val="008E2742"/>
    <w:rsid w:val="008E2756"/>
    <w:rsid w:val="008E494E"/>
    <w:rsid w:val="008F1677"/>
    <w:rsid w:val="008F2CAE"/>
    <w:rsid w:val="008F3673"/>
    <w:rsid w:val="008F55C8"/>
    <w:rsid w:val="008F6BF7"/>
    <w:rsid w:val="00901313"/>
    <w:rsid w:val="00902F8E"/>
    <w:rsid w:val="00910E90"/>
    <w:rsid w:val="009118BE"/>
    <w:rsid w:val="0091226C"/>
    <w:rsid w:val="0091477F"/>
    <w:rsid w:val="00915D31"/>
    <w:rsid w:val="00915E28"/>
    <w:rsid w:val="009162B9"/>
    <w:rsid w:val="00917585"/>
    <w:rsid w:val="0092044E"/>
    <w:rsid w:val="00920C79"/>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30C"/>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2AB8"/>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03765"/>
    <w:rsid w:val="00A056C8"/>
    <w:rsid w:val="00A1162D"/>
    <w:rsid w:val="00A11E9E"/>
    <w:rsid w:val="00A17CC6"/>
    <w:rsid w:val="00A17D48"/>
    <w:rsid w:val="00A2170A"/>
    <w:rsid w:val="00A24C96"/>
    <w:rsid w:val="00A25DFC"/>
    <w:rsid w:val="00A31CF3"/>
    <w:rsid w:val="00A32444"/>
    <w:rsid w:val="00A32590"/>
    <w:rsid w:val="00A355BD"/>
    <w:rsid w:val="00A37DEF"/>
    <w:rsid w:val="00A40519"/>
    <w:rsid w:val="00A410C4"/>
    <w:rsid w:val="00A41896"/>
    <w:rsid w:val="00A42FC9"/>
    <w:rsid w:val="00A44C9F"/>
    <w:rsid w:val="00A45621"/>
    <w:rsid w:val="00A471F7"/>
    <w:rsid w:val="00A546AE"/>
    <w:rsid w:val="00A62BCD"/>
    <w:rsid w:val="00A62D4D"/>
    <w:rsid w:val="00A6350E"/>
    <w:rsid w:val="00A66037"/>
    <w:rsid w:val="00A672D3"/>
    <w:rsid w:val="00A72697"/>
    <w:rsid w:val="00A73758"/>
    <w:rsid w:val="00A73970"/>
    <w:rsid w:val="00A82801"/>
    <w:rsid w:val="00A8350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5D2"/>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8BA"/>
    <w:rsid w:val="00AD6670"/>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579C"/>
    <w:rsid w:val="00B163E5"/>
    <w:rsid w:val="00B203CB"/>
    <w:rsid w:val="00B20559"/>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80C86"/>
    <w:rsid w:val="00B83D6E"/>
    <w:rsid w:val="00B90AA8"/>
    <w:rsid w:val="00B92CC3"/>
    <w:rsid w:val="00B93486"/>
    <w:rsid w:val="00B948ED"/>
    <w:rsid w:val="00B95E7B"/>
    <w:rsid w:val="00B97FE5"/>
    <w:rsid w:val="00BA1C8E"/>
    <w:rsid w:val="00BB57DC"/>
    <w:rsid w:val="00BC0C0F"/>
    <w:rsid w:val="00BC2B3E"/>
    <w:rsid w:val="00BC3468"/>
    <w:rsid w:val="00BC484E"/>
    <w:rsid w:val="00BD0DA1"/>
    <w:rsid w:val="00BD2B75"/>
    <w:rsid w:val="00BD51DE"/>
    <w:rsid w:val="00BD5CA5"/>
    <w:rsid w:val="00BD6C73"/>
    <w:rsid w:val="00BD747B"/>
    <w:rsid w:val="00BF5FB1"/>
    <w:rsid w:val="00BF6A71"/>
    <w:rsid w:val="00BF720F"/>
    <w:rsid w:val="00C04645"/>
    <w:rsid w:val="00C07B14"/>
    <w:rsid w:val="00C15D2B"/>
    <w:rsid w:val="00C16062"/>
    <w:rsid w:val="00C20FD5"/>
    <w:rsid w:val="00C24EDF"/>
    <w:rsid w:val="00C25DB3"/>
    <w:rsid w:val="00C26015"/>
    <w:rsid w:val="00C26828"/>
    <w:rsid w:val="00C45407"/>
    <w:rsid w:val="00C456D5"/>
    <w:rsid w:val="00C51079"/>
    <w:rsid w:val="00C57F08"/>
    <w:rsid w:val="00C6012B"/>
    <w:rsid w:val="00C63237"/>
    <w:rsid w:val="00C6749F"/>
    <w:rsid w:val="00C67544"/>
    <w:rsid w:val="00C67778"/>
    <w:rsid w:val="00C738FB"/>
    <w:rsid w:val="00C755E2"/>
    <w:rsid w:val="00C75A01"/>
    <w:rsid w:val="00C81B0A"/>
    <w:rsid w:val="00C81BE0"/>
    <w:rsid w:val="00C81F00"/>
    <w:rsid w:val="00C83B59"/>
    <w:rsid w:val="00C83E76"/>
    <w:rsid w:val="00C908E1"/>
    <w:rsid w:val="00C92739"/>
    <w:rsid w:val="00C92E02"/>
    <w:rsid w:val="00C94CE9"/>
    <w:rsid w:val="00C97BE2"/>
    <w:rsid w:val="00C97E25"/>
    <w:rsid w:val="00CA0885"/>
    <w:rsid w:val="00CA196A"/>
    <w:rsid w:val="00CA3C57"/>
    <w:rsid w:val="00CA500C"/>
    <w:rsid w:val="00CA61C5"/>
    <w:rsid w:val="00CB42DE"/>
    <w:rsid w:val="00CB4A15"/>
    <w:rsid w:val="00CB4D7B"/>
    <w:rsid w:val="00CB5E85"/>
    <w:rsid w:val="00CB71CC"/>
    <w:rsid w:val="00CC0824"/>
    <w:rsid w:val="00CD0C42"/>
    <w:rsid w:val="00CD4655"/>
    <w:rsid w:val="00CD6CD3"/>
    <w:rsid w:val="00CD6EE5"/>
    <w:rsid w:val="00CD750A"/>
    <w:rsid w:val="00CE0400"/>
    <w:rsid w:val="00CE0FB4"/>
    <w:rsid w:val="00CE28AA"/>
    <w:rsid w:val="00CE5B77"/>
    <w:rsid w:val="00CF157B"/>
    <w:rsid w:val="00CF2737"/>
    <w:rsid w:val="00CF3202"/>
    <w:rsid w:val="00CF4A3E"/>
    <w:rsid w:val="00CF7A3A"/>
    <w:rsid w:val="00D01CCB"/>
    <w:rsid w:val="00D027FC"/>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1078"/>
    <w:rsid w:val="00D912A4"/>
    <w:rsid w:val="00D921EA"/>
    <w:rsid w:val="00D938C6"/>
    <w:rsid w:val="00D94372"/>
    <w:rsid w:val="00D956E0"/>
    <w:rsid w:val="00D96A9D"/>
    <w:rsid w:val="00D96EA2"/>
    <w:rsid w:val="00D97207"/>
    <w:rsid w:val="00D9731F"/>
    <w:rsid w:val="00DA24A0"/>
    <w:rsid w:val="00DA2679"/>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E4DD0"/>
    <w:rsid w:val="00DF16EC"/>
    <w:rsid w:val="00DF35BA"/>
    <w:rsid w:val="00DF3B21"/>
    <w:rsid w:val="00DF3D09"/>
    <w:rsid w:val="00DF470C"/>
    <w:rsid w:val="00DF4D84"/>
    <w:rsid w:val="00DF6C8F"/>
    <w:rsid w:val="00E0039E"/>
    <w:rsid w:val="00E00404"/>
    <w:rsid w:val="00E015B9"/>
    <w:rsid w:val="00E0345D"/>
    <w:rsid w:val="00E05A49"/>
    <w:rsid w:val="00E1426E"/>
    <w:rsid w:val="00E14547"/>
    <w:rsid w:val="00E15D4C"/>
    <w:rsid w:val="00E16EA9"/>
    <w:rsid w:val="00E20722"/>
    <w:rsid w:val="00E24C15"/>
    <w:rsid w:val="00E24FC4"/>
    <w:rsid w:val="00E279B5"/>
    <w:rsid w:val="00E3135C"/>
    <w:rsid w:val="00E359B5"/>
    <w:rsid w:val="00E42975"/>
    <w:rsid w:val="00E43193"/>
    <w:rsid w:val="00E43FB5"/>
    <w:rsid w:val="00E50670"/>
    <w:rsid w:val="00E50742"/>
    <w:rsid w:val="00E51846"/>
    <w:rsid w:val="00E51AC1"/>
    <w:rsid w:val="00E51F80"/>
    <w:rsid w:val="00E54828"/>
    <w:rsid w:val="00E54B93"/>
    <w:rsid w:val="00E56E71"/>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B6DE6"/>
    <w:rsid w:val="00EC00A5"/>
    <w:rsid w:val="00EC0125"/>
    <w:rsid w:val="00EC10B3"/>
    <w:rsid w:val="00EC1B9A"/>
    <w:rsid w:val="00EC26DA"/>
    <w:rsid w:val="00EC432F"/>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307C"/>
    <w:rsid w:val="00EF3377"/>
    <w:rsid w:val="00EF65A6"/>
    <w:rsid w:val="00F0061F"/>
    <w:rsid w:val="00F00CBF"/>
    <w:rsid w:val="00F029C8"/>
    <w:rsid w:val="00F03295"/>
    <w:rsid w:val="00F03CC1"/>
    <w:rsid w:val="00F07405"/>
    <w:rsid w:val="00F07F61"/>
    <w:rsid w:val="00F1107A"/>
    <w:rsid w:val="00F20491"/>
    <w:rsid w:val="00F20CC7"/>
    <w:rsid w:val="00F22133"/>
    <w:rsid w:val="00F2250A"/>
    <w:rsid w:val="00F26507"/>
    <w:rsid w:val="00F276BC"/>
    <w:rsid w:val="00F27AB3"/>
    <w:rsid w:val="00F315B3"/>
    <w:rsid w:val="00F35F6A"/>
    <w:rsid w:val="00F40E21"/>
    <w:rsid w:val="00F41951"/>
    <w:rsid w:val="00F430AB"/>
    <w:rsid w:val="00F43D4E"/>
    <w:rsid w:val="00F452FD"/>
    <w:rsid w:val="00F45B64"/>
    <w:rsid w:val="00F47863"/>
    <w:rsid w:val="00F54441"/>
    <w:rsid w:val="00F547F4"/>
    <w:rsid w:val="00F578D8"/>
    <w:rsid w:val="00F619D8"/>
    <w:rsid w:val="00F646DB"/>
    <w:rsid w:val="00F65E57"/>
    <w:rsid w:val="00F7047A"/>
    <w:rsid w:val="00F7492F"/>
    <w:rsid w:val="00F75DD1"/>
    <w:rsid w:val="00F816A6"/>
    <w:rsid w:val="00F8327B"/>
    <w:rsid w:val="00F95A9F"/>
    <w:rsid w:val="00F96834"/>
    <w:rsid w:val="00F970E2"/>
    <w:rsid w:val="00FA1558"/>
    <w:rsid w:val="00FA2407"/>
    <w:rsid w:val="00FA414C"/>
    <w:rsid w:val="00FA447C"/>
    <w:rsid w:val="00FA4B87"/>
    <w:rsid w:val="00FA5D0A"/>
    <w:rsid w:val="00FA61A6"/>
    <w:rsid w:val="00FA74C5"/>
    <w:rsid w:val="00FB2909"/>
    <w:rsid w:val="00FB3563"/>
    <w:rsid w:val="00FC0BE9"/>
    <w:rsid w:val="00FC1402"/>
    <w:rsid w:val="00FC27D4"/>
    <w:rsid w:val="00FC4F59"/>
    <w:rsid w:val="00FC5550"/>
    <w:rsid w:val="00FC5D96"/>
    <w:rsid w:val="00FD45EB"/>
    <w:rsid w:val="00FD4697"/>
    <w:rsid w:val="00FD5B50"/>
    <w:rsid w:val="00FE3524"/>
    <w:rsid w:val="00FE4618"/>
    <w:rsid w:val="00FE5B61"/>
    <w:rsid w:val="00FE6D17"/>
    <w:rsid w:val="00FF2243"/>
    <w:rsid w:val="00FF27DF"/>
    <w:rsid w:val="00FF4A52"/>
    <w:rsid w:val="57904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6"/>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3"/>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autoRedefine/>
    <w:uiPriority w:val="39"/>
    <w:pPr>
      <w:tabs>
        <w:tab w:val="left" w:leader="dot" w:pos="180"/>
        <w:tab w:val="right" w:leader="dot" w:pos="9360"/>
      </w:tabs>
    </w:pPr>
    <w:rPr>
      <w:b/>
      <w:bCs/>
      <w:kern w:val="2"/>
      <w:szCs w:val="24"/>
      <w:lang w:val="en-US"/>
    </w:rPr>
  </w:style>
  <w:style w:type="paragraph" w:styleId="19">
    <w:name w:val="toc 2"/>
    <w:basedOn w:val="1"/>
    <w:next w:val="1"/>
    <w:autoRedefine/>
    <w:uiPriority w:val="39"/>
    <w:pPr>
      <w:tabs>
        <w:tab w:val="left" w:pos="540"/>
        <w:tab w:val="right" w:leader="dot" w:pos="9360"/>
      </w:tabs>
      <w:ind w:left="200"/>
    </w:pPr>
    <w:rPr>
      <w:kern w:val="2"/>
      <w:szCs w:val="24"/>
      <w:lang w:val="en-US"/>
    </w:rPr>
  </w:style>
  <w:style w:type="paragraph" w:styleId="20">
    <w:name w:val="Title"/>
    <w:basedOn w:val="1"/>
    <w:next w:val="1"/>
    <w:link w:val="35"/>
    <w:qFormat/>
    <w:uiPriority w:val="0"/>
    <w:pPr>
      <w:spacing w:before="240" w:after="60"/>
      <w:jc w:val="center"/>
      <w:outlineLvl w:val="0"/>
    </w:pPr>
    <w:rPr>
      <w:rFonts w:asciiTheme="majorHAnsi" w:hAnsiTheme="majorHAnsi" w:eastAsiaTheme="majorEastAsia" w:cstheme="majorBidi"/>
      <w:b/>
      <w:bCs/>
      <w:sz w:val="32"/>
      <w:szCs w:val="32"/>
    </w:rPr>
  </w:style>
  <w:style w:type="table" w:styleId="22">
    <w:name w:val="Table Grid"/>
    <w:basedOn w:val="21"/>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uiPriority w:val="0"/>
  </w:style>
  <w:style w:type="character" w:styleId="25">
    <w:name w:val="Hyperlink"/>
    <w:uiPriority w:val="99"/>
    <w:rPr>
      <w:color w:val="0000FF"/>
      <w:u w:val="single"/>
    </w:rPr>
  </w:style>
  <w:style w:type="character" w:customStyle="1" w:styleId="26">
    <w:name w:val="正文文本缩进 字符"/>
    <w:link w:val="13"/>
    <w:uiPriority w:val="0"/>
    <w:rPr>
      <w:rFonts w:ascii="微软雅黑" w:hAnsi="微软雅黑" w:eastAsia="微软雅黑"/>
      <w:kern w:val="2"/>
      <w:sz w:val="24"/>
      <w:szCs w:val="24"/>
    </w:rPr>
  </w:style>
  <w:style w:type="character" w:customStyle="1" w:styleId="27">
    <w:name w:val="正文文本缩进 Char1"/>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uiPriority w:val="0"/>
    <w:rPr>
      <w:rFonts w:ascii="微软雅黑" w:hAnsi="微软雅黑" w:eastAsia="微软雅黑"/>
      <w:kern w:val="2"/>
      <w:sz w:val="24"/>
      <w:szCs w:val="24"/>
    </w:rPr>
  </w:style>
  <w:style w:type="character" w:customStyle="1" w:styleId="30">
    <w:name w:val="标题 2 字符"/>
    <w:link w:val="4"/>
    <w:uiPriority w:val="0"/>
    <w:rPr>
      <w:rFonts w:ascii="微软雅黑" w:hAnsi="微软雅黑" w:eastAsia="微软雅黑" w:cs="微软雅黑"/>
      <w:b/>
      <w:bCs/>
      <w:iCs/>
      <w:color w:val="000000"/>
      <w:sz w:val="24"/>
      <w:szCs w:val="24"/>
    </w:rPr>
  </w:style>
  <w:style w:type="character" w:customStyle="1" w:styleId="31">
    <w:name w:val="标题 1 字符"/>
    <w:link w:val="2"/>
    <w:uiPriority w:val="0"/>
    <w:rPr>
      <w:rFonts w:ascii="微软雅黑" w:hAnsi="微软雅黑" w:eastAsia="微软雅黑" w:cs="微软雅黑"/>
      <w:b/>
      <w:bCs/>
      <w:kern w:val="32"/>
      <w:sz w:val="28"/>
      <w:szCs w:val="28"/>
    </w:rPr>
  </w:style>
  <w:style w:type="character" w:styleId="32">
    <w:name w:val="Placeholder Text"/>
    <w:basedOn w:val="23"/>
    <w:semiHidden/>
    <w:uiPriority w:val="99"/>
    <w:rPr>
      <w:color w:val="808080"/>
    </w:rPr>
  </w:style>
  <w:style w:type="character" w:customStyle="1" w:styleId="33">
    <w:name w:val="批注框文本 字符"/>
    <w:basedOn w:val="23"/>
    <w:link w:val="15"/>
    <w:qFormat/>
    <w:uiPriority w:val="0"/>
    <w:rPr>
      <w:sz w:val="18"/>
      <w:szCs w:val="18"/>
      <w:lang w:val="en-GB"/>
    </w:rPr>
  </w:style>
  <w:style w:type="character" w:customStyle="1" w:styleId="34">
    <w:name w:val="Subtle Reference"/>
    <w:basedOn w:val="23"/>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
    <w:name w:val="标题 字符"/>
    <w:basedOn w:val="23"/>
    <w:link w:val="20"/>
    <w:uiPriority w:val="0"/>
    <w:rPr>
      <w:rFonts w:asciiTheme="majorHAnsi" w:hAnsiTheme="majorHAnsi" w:eastAsiaTheme="majorEastAsia" w:cstheme="majorBidi"/>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10.wmf"/><Relationship Id="rId18" Type="http://schemas.openxmlformats.org/officeDocument/2006/relationships/oleObject" Target="embeddings/oleObject4.bin"/><Relationship Id="rId17" Type="http://schemas.openxmlformats.org/officeDocument/2006/relationships/image" Target="media/image9.wmf"/><Relationship Id="rId16" Type="http://schemas.openxmlformats.org/officeDocument/2006/relationships/oleObject" Target="embeddings/oleObject3.bin"/><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oleObject" Target="embeddings/oleObject2.bin"/><Relationship Id="rId12" Type="http://schemas.openxmlformats.org/officeDocument/2006/relationships/image" Target="media/image6.wmf"/><Relationship Id="rId11" Type="http://schemas.openxmlformats.org/officeDocument/2006/relationships/oleObject" Target="embeddings/oleObject1.bin"/><Relationship Id="rId10" Type="http://schemas.openxmlformats.org/officeDocument/2006/relationships/image" Target="media/image5.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7F5CC-751E-48A7-8434-4A4EA06753A0}">
  <ds:schemaRefs/>
</ds:datastoreItem>
</file>

<file path=docProps/app.xml><?xml version="1.0" encoding="utf-8"?>
<Properties xmlns="http://schemas.openxmlformats.org/officeDocument/2006/extended-properties" xmlns:vt="http://schemas.openxmlformats.org/officeDocument/2006/docPropsVTypes">
  <Template>tmp3.dotx</Template>
  <Pages>24</Pages>
  <Words>9322</Words>
  <Characters>12763</Characters>
  <Lines>50</Lines>
  <Paragraphs>14</Paragraphs>
  <TotalTime>15</TotalTime>
  <ScaleCrop>false</ScaleCrop>
  <LinksUpToDate>false</LinksUpToDate>
  <CharactersWithSpaces>12972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2024-04-09T06:58:00Z</dcterms:created>
  <dc:creator>不是我，是风</dc:creator>
  <cp:lastModifiedBy>不是我，是风</cp:lastModifiedBy>
  <dcterms:modified xsi:type="dcterms:W3CDTF">2024-04-09T07:14:37Z</dcterms:modified>
  <dc:title>最不利房间室内噪声设计报告书_环评版</dc:title>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197059EFBE6A44C38E510237C1DBE629_11</vt:lpwstr>
  </property>
  <property fmtid="{D5CDD505-2E9C-101B-9397-08002B2CF9AE}" pid="3" name="KSOProductBuildVer">
    <vt:lpwstr>2052-12.1.0.16417</vt:lpwstr>
  </property>
</Properties>
</file>