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hint="eastAsia" w:ascii="宋体" w:hAnsi="宋体" w:eastAsia="宋体"/>
                <w:szCs w:val="21"/>
                <w:lang w:eastAsia="zh-CN"/>
              </w:rPr>
            </w:pPr>
            <w:r>
              <w:rPr>
                <w:rFonts w:hint="eastAsia"/>
                <w:lang w:eastAsia="zh-CN"/>
              </w:rPr>
              <w:t>紫华学府小区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项目地点"/>
            <w:r>
              <w:t>保定</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r>
              <w:rPr>
                <w:rFonts w:hint="eastAsia" w:ascii="宋体" w:hAnsi="宋体"/>
                <w:szCs w:val="21"/>
              </w:rPr>
              <w:t>保定清控华中置业有限公司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hint="eastAsia" w:ascii="宋体" w:hAnsi="宋体" w:eastAsia="宋体"/>
                <w:szCs w:val="21"/>
                <w:lang w:eastAsia="zh-CN"/>
              </w:rPr>
            </w:pPr>
            <w:r>
              <w:rPr>
                <w:rFonts w:hint="eastAsia" w:ascii="宋体" w:hAnsi="宋体"/>
                <w:szCs w:val="21"/>
                <w:lang w:eastAsia="zh-CN"/>
              </w:rPr>
              <w:t>上海建科建筑设计院有限公司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eastAsia" w:ascii="宋体" w:hAnsi="宋体" w:eastAsia="宋体"/>
                <w:szCs w:val="21"/>
                <w:lang w:eastAsia="zh-CN"/>
              </w:rPr>
            </w:pPr>
            <w:r>
              <w:rPr>
                <w:rFonts w:hint="eastAsia" w:ascii="宋体" w:hAnsi="宋体"/>
                <w:szCs w:val="21"/>
                <w:lang w:eastAsia="zh-CN"/>
              </w:rPr>
              <w:t>张左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hint="eastAsia" w:ascii="宋体" w:hAnsi="宋体" w:eastAsia="宋体"/>
                <w:szCs w:val="21"/>
                <w:lang w:eastAsia="zh-CN"/>
              </w:rPr>
            </w:pPr>
            <w:r>
              <w:rPr>
                <w:rFonts w:hint="eastAsia" w:ascii="宋体" w:hAnsi="宋体"/>
                <w:szCs w:val="21"/>
                <w:lang w:eastAsia="zh-CN"/>
              </w:rPr>
              <w:t>何轩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hint="eastAsia" w:ascii="宋体" w:hAnsi="宋体" w:eastAsia="宋体"/>
                <w:szCs w:val="21"/>
                <w:lang w:eastAsia="zh-CN"/>
              </w:rPr>
            </w:pPr>
            <w:r>
              <w:rPr>
                <w:rFonts w:hint="eastAsia" w:ascii="宋体" w:hAnsi="宋体"/>
                <w:szCs w:val="21"/>
                <w:lang w:eastAsia="zh-CN"/>
              </w:rPr>
              <w:t>刘立华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2" w:name="报告日期"/>
            <w:r>
              <w:rPr>
                <w:rFonts w:hint="eastAsia" w:ascii="宋体" w:hAnsi="宋体"/>
                <w:szCs w:val="21"/>
              </w:rPr>
              <w:t>2024年0</w:t>
            </w:r>
            <w:r>
              <w:rPr>
                <w:rFonts w:hint="eastAsia" w:ascii="宋体" w:hAnsi="宋体"/>
                <w:szCs w:val="21"/>
                <w:lang w:val="en-US" w:eastAsia="zh-CN"/>
              </w:rPr>
              <w:t>4</w:t>
            </w:r>
            <w:r>
              <w:rPr>
                <w:rFonts w:hint="eastAsia" w:ascii="宋体" w:hAnsi="宋体"/>
                <w:szCs w:val="21"/>
              </w:rPr>
              <w:t>月23日</w:t>
            </w:r>
            <w:bookmarkEnd w:id="2"/>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3" w:name="二维码"/>
      <w:bookmarkEnd w:id="3"/>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bookmarkStart w:id="72" w:name="_GoBack"/>
      <w:bookmarkEnd w:id="72"/>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4" w:name="采用软件"/>
            <w:r>
              <w:rPr>
                <w:rFonts w:hint="eastAsia" w:ascii="宋体" w:hAnsi="宋体"/>
              </w:rPr>
              <w:t>建筑通风Vent2024</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5" w:name="软件版本"/>
            <w:r>
              <w:rPr>
                <w:rFonts w:ascii="宋体" w:hAnsi="宋体"/>
                <w:szCs w:val="21"/>
              </w:rPr>
              <w:t>20240101(SP1)</w:t>
            </w:r>
            <w:bookmarkEnd w:id="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6" w:name="加密锁号"/>
            <w:r>
              <w:t>T15931944576</w:t>
            </w:r>
            <w:bookmarkEnd w:id="6"/>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7"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_Toc12289 </w:instrText>
      </w:r>
      <w:r>
        <w:rPr>
          <w:rFonts w:ascii="宋体" w:hAnsi="宋体"/>
          <w:bCs w:val="0"/>
          <w:caps/>
        </w:rPr>
        <w:fldChar w:fldCharType="separate"/>
      </w:r>
      <w:r>
        <w:rPr>
          <w:rFonts w:hint="eastAsia"/>
        </w:rPr>
        <w:t>1 项目概况</w:t>
      </w:r>
      <w:r>
        <w:tab/>
      </w:r>
      <w:r>
        <w:fldChar w:fldCharType="begin"/>
      </w:r>
      <w:r>
        <w:instrText xml:space="preserve"> PAGEREF _Toc12289 \h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_Toc23553 </w:instrText>
      </w:r>
      <w:r>
        <w:fldChar w:fldCharType="separate"/>
      </w:r>
      <w:r>
        <w:rPr>
          <w:rFonts w:hint="eastAsia"/>
          <w:lang w:val="en-GB"/>
        </w:rPr>
        <w:t xml:space="preserve">1.1 </w:t>
      </w:r>
      <w:r>
        <w:t>平面图</w:t>
      </w:r>
      <w:r>
        <w:tab/>
      </w:r>
      <w:r>
        <w:fldChar w:fldCharType="begin"/>
      </w:r>
      <w:r>
        <w:instrText xml:space="preserve"> PAGEREF _Toc23553 \h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_Toc21511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_Toc21511 \h </w:instrText>
      </w:r>
      <w:r>
        <w:fldChar w:fldCharType="separate"/>
      </w:r>
      <w:r>
        <w:t>5</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_Toc28117 </w:instrText>
      </w:r>
      <w:r>
        <w:fldChar w:fldCharType="separate"/>
      </w:r>
      <w:r>
        <w:rPr>
          <w:rFonts w:hint="eastAsia"/>
        </w:rPr>
        <w:t>2 计算</w:t>
      </w:r>
      <w:r>
        <w:t>依据</w:t>
      </w:r>
      <w:r>
        <w:tab/>
      </w:r>
      <w:r>
        <w:fldChar w:fldCharType="begin"/>
      </w:r>
      <w:r>
        <w:instrText xml:space="preserve"> PAGEREF _Toc28117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_Toc30966 </w:instrText>
      </w:r>
      <w:r>
        <w:fldChar w:fldCharType="separate"/>
      </w:r>
      <w:r>
        <w:rPr>
          <w:rFonts w:hint="eastAsia"/>
        </w:rPr>
        <w:t>3 参考</w:t>
      </w:r>
      <w:r>
        <w:t>标准</w:t>
      </w:r>
      <w:r>
        <w:tab/>
      </w:r>
      <w:r>
        <w:fldChar w:fldCharType="begin"/>
      </w:r>
      <w:r>
        <w:instrText xml:space="preserve"> PAGEREF _Toc30966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_Toc29541 </w:instrText>
      </w:r>
      <w:r>
        <w:fldChar w:fldCharType="separate"/>
      </w:r>
      <w:r>
        <w:rPr>
          <w:rFonts w:hint="eastAsia"/>
        </w:rPr>
        <w:t>4 技术措施</w:t>
      </w:r>
      <w:r>
        <w:tab/>
      </w:r>
      <w:r>
        <w:fldChar w:fldCharType="begin"/>
      </w:r>
      <w:r>
        <w:instrText xml:space="preserve"> PAGEREF _Toc29541 \h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_Toc88 </w:instrText>
      </w:r>
      <w:r>
        <w:fldChar w:fldCharType="separate"/>
      </w:r>
      <w:r>
        <w:rPr>
          <w:rFonts w:hint="eastAsia"/>
        </w:rPr>
        <w:t>5 计算方法</w:t>
      </w:r>
      <w:r>
        <w:tab/>
      </w:r>
      <w:r>
        <w:fldChar w:fldCharType="begin"/>
      </w:r>
      <w:r>
        <w:instrText xml:space="preserve"> PAGEREF _Toc88 \h </w:instrText>
      </w:r>
      <w:r>
        <w:fldChar w:fldCharType="separate"/>
      </w:r>
      <w:r>
        <w:t>7</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_Toc13743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_Toc13743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_Toc20037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_Toc20037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_Toc13090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_Toc13090 \h </w:instrText>
      </w:r>
      <w:r>
        <w:fldChar w:fldCharType="separate"/>
      </w:r>
      <w:r>
        <w:t>7</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_Toc12127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_Toc12127 \h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_Toc22039 </w:instrText>
      </w:r>
      <w:r>
        <w:fldChar w:fldCharType="separate"/>
      </w:r>
      <w:r>
        <w:rPr>
          <w:rFonts w:hint="eastAsia"/>
        </w:rPr>
        <w:t>6 结果</w:t>
      </w:r>
      <w:r>
        <w:t>分析</w:t>
      </w:r>
      <w:r>
        <w:tab/>
      </w:r>
      <w:r>
        <w:fldChar w:fldCharType="begin"/>
      </w:r>
      <w:r>
        <w:instrText xml:space="preserve"> PAGEREF _Toc22039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_Toc31704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_Toc31704 \h </w:instrText>
      </w:r>
      <w:r>
        <w:fldChar w:fldCharType="separate"/>
      </w:r>
      <w:r>
        <w:t>9</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_Toc14413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_Toc14413 \h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_Toc18294 </w:instrText>
      </w:r>
      <w:r>
        <w:fldChar w:fldCharType="separate"/>
      </w:r>
      <w:r>
        <w:rPr>
          <w:rFonts w:hint="eastAsia"/>
          <w:lang w:val="en-GB"/>
        </w:rPr>
        <w:t xml:space="preserve">6.3 </w:t>
      </w:r>
      <w:r>
        <w:rPr>
          <w:rFonts w:hint="eastAsia"/>
        </w:rPr>
        <w:t>流线图</w:t>
      </w:r>
      <w:r>
        <w:tab/>
      </w:r>
      <w:r>
        <w:fldChar w:fldCharType="begin"/>
      </w:r>
      <w:r>
        <w:instrText xml:space="preserve"> PAGEREF _Toc18294 \h </w:instrText>
      </w:r>
      <w:r>
        <w:fldChar w:fldCharType="separate"/>
      </w:r>
      <w:r>
        <w:t>11</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_Toc9039 </w:instrText>
      </w:r>
      <w:r>
        <w:fldChar w:fldCharType="separate"/>
      </w:r>
      <w:r>
        <w:rPr>
          <w:rFonts w:hint="eastAsia"/>
          <w:szCs w:val="36"/>
        </w:rPr>
        <w:t>7 结论</w:t>
      </w:r>
      <w:r>
        <w:tab/>
      </w:r>
      <w:r>
        <w:fldChar w:fldCharType="begin"/>
      </w:r>
      <w:r>
        <w:instrText xml:space="preserve"> PAGEREF _Toc9039 \h </w:instrText>
      </w:r>
      <w:r>
        <w:fldChar w:fldCharType="separate"/>
      </w:r>
      <w:r>
        <w:t>12</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7"/>
    <w:p>
      <w:pPr>
        <w:pStyle w:val="2"/>
      </w:pPr>
      <w:bookmarkStart w:id="8" w:name="_Toc50050011"/>
      <w:bookmarkStart w:id="9" w:name="_Toc12289"/>
      <w:bookmarkStart w:id="10" w:name="_Toc13735908"/>
      <w:bookmarkStart w:id="11" w:name="_Toc452108759"/>
      <w:bookmarkStart w:id="12" w:name="_Toc452108762"/>
      <w:bookmarkStart w:id="13" w:name="TitleFormat"/>
      <w:r>
        <w:rPr>
          <w:rFonts w:hint="eastAsia"/>
        </w:rPr>
        <w:t>项目概况</w:t>
      </w:r>
      <w:bookmarkEnd w:id="8"/>
      <w:bookmarkEnd w:id="9"/>
      <w:bookmarkEnd w:id="10"/>
      <w:bookmarkEnd w:id="11"/>
    </w:p>
    <w:p>
      <w:pPr>
        <w:pStyle w:val="4"/>
        <w:rPr>
          <w:lang w:val="en-US"/>
        </w:rPr>
      </w:pPr>
      <w:bookmarkStart w:id="14" w:name="项目概况"/>
      <w:bookmarkEnd w:id="14"/>
      <w:bookmarkStart w:id="15" w:name="_Toc452108760"/>
      <w:bookmarkStart w:id="16" w:name="_Toc13735909"/>
      <w:bookmarkStart w:id="17" w:name="_Toc50050012"/>
      <w:bookmarkStart w:id="18" w:name="_Toc23553"/>
      <w:bookmarkStart w:id="19" w:name="平面图2"/>
      <w:r>
        <w:t>平面图</w:t>
      </w:r>
      <w:bookmarkEnd w:id="15"/>
      <w:bookmarkEnd w:id="16"/>
      <w:bookmarkEnd w:id="17"/>
      <w:bookmarkEnd w:id="18"/>
      <w:bookmarkStart w:id="20" w:name="平面图"/>
      <w:bookmarkEnd w:id="20"/>
    </w:p>
    <w:p>
      <w:pPr>
        <w:pStyle w:val="3"/>
        <w:ind w:firstLine="0" w:firstLineChars="0"/>
        <w:jc w:val="center"/>
        <w:rPr>
          <w:lang w:val="en-US"/>
        </w:rPr>
      </w:pPr>
      <w:r>
        <w:drawing>
          <wp:inline distT="0" distB="0" distL="0" distR="0">
            <wp:extent cx="5667375" cy="18859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0"/>
                    <a:stretch>
                      <a:fillRect/>
                    </a:stretch>
                  </pic:blipFill>
                  <pic:spPr>
                    <a:xfrm>
                      <a:off x="0" y="0"/>
                      <a:ext cx="5667375" cy="18859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18288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1"/>
                    <a:stretch>
                      <a:fillRect/>
                    </a:stretch>
                  </pic:blipFill>
                  <pic:spPr>
                    <a:xfrm>
                      <a:off x="0" y="0"/>
                      <a:ext cx="5667375" cy="1828800"/>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179070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2"/>
                    <a:stretch>
                      <a:fillRect/>
                    </a:stretch>
                  </pic:blipFill>
                  <pic:spPr>
                    <a:xfrm>
                      <a:off x="0" y="0"/>
                      <a:ext cx="5667375" cy="17907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179070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3"/>
                    <a:stretch>
                      <a:fillRect/>
                    </a:stretch>
                  </pic:blipFill>
                  <pic:spPr>
                    <a:xfrm>
                      <a:off x="0" y="0"/>
                      <a:ext cx="5667375" cy="1790700"/>
                    </a:xfrm>
                    <a:prstGeom prst="rect">
                      <a:avLst/>
                    </a:prstGeom>
                  </pic:spPr>
                </pic:pic>
              </a:graphicData>
            </a:graphic>
          </wp:inline>
        </w:drawing>
      </w:r>
    </w:p>
    <w:p>
      <w:pPr>
        <w:pStyle w:val="3"/>
        <w:ind w:firstLine="0" w:firstLineChars="0"/>
        <w:jc w:val="center"/>
        <w:rPr>
          <w:lang w:val="en-US"/>
        </w:rPr>
      </w:pPr>
      <w:r>
        <w:rPr>
          <w:lang w:val="en-US"/>
        </w:rPr>
        <w:t>4~17层平面</w:t>
      </w:r>
    </w:p>
    <w:p>
      <w:pPr>
        <w:pStyle w:val="3"/>
        <w:ind w:firstLine="0" w:firstLineChars="0"/>
        <w:jc w:val="center"/>
        <w:rPr>
          <w:lang w:val="en-US"/>
        </w:rPr>
      </w:pPr>
      <w:r>
        <w:drawing>
          <wp:inline distT="0" distB="0" distL="0" distR="0">
            <wp:extent cx="5667375" cy="182880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14"/>
                    <a:stretch>
                      <a:fillRect/>
                    </a:stretch>
                  </pic:blipFill>
                  <pic:spPr>
                    <a:xfrm>
                      <a:off x="0" y="0"/>
                      <a:ext cx="5667375" cy="1828800"/>
                    </a:xfrm>
                    <a:prstGeom prst="rect">
                      <a:avLst/>
                    </a:prstGeom>
                  </pic:spPr>
                </pic:pic>
              </a:graphicData>
            </a:graphic>
          </wp:inline>
        </w:drawing>
      </w:r>
    </w:p>
    <w:p>
      <w:pPr>
        <w:pStyle w:val="3"/>
        <w:ind w:firstLine="0" w:firstLineChars="0"/>
        <w:jc w:val="center"/>
        <w:rPr>
          <w:lang w:val="en-US"/>
        </w:rPr>
      </w:pPr>
      <w:r>
        <w:rPr>
          <w:lang w:val="en-US"/>
        </w:rPr>
        <w:t>18层平面</w:t>
      </w:r>
      <w:bookmarkEnd w:id="19"/>
      <w:bookmarkStart w:id="21" w:name="_Toc452108761"/>
      <w:bookmarkStart w:id="22" w:name="_Toc50050013"/>
      <w:bookmarkStart w:id="23" w:name="_Toc13735910"/>
      <w:bookmarkStart w:id="24" w:name="_Toc21511"/>
    </w:p>
    <w:p>
      <w:pPr>
        <w:pStyle w:val="4"/>
        <w:rPr>
          <w:rFonts w:cs="Arial"/>
        </w:rPr>
      </w:pPr>
      <w:r>
        <w:rPr>
          <w:rFonts w:hint="eastAsia" w:cs="Arial"/>
        </w:rPr>
        <w:t>三</w:t>
      </w:r>
      <w:r>
        <w:rPr>
          <w:rFonts w:cs="Arial"/>
        </w:rPr>
        <w:t>维视图</w:t>
      </w:r>
      <w:bookmarkEnd w:id="21"/>
      <w:bookmarkEnd w:id="22"/>
      <w:bookmarkEnd w:id="23"/>
      <w:bookmarkEnd w:id="24"/>
    </w:p>
    <w:p>
      <w:pPr>
        <w:pStyle w:val="2"/>
        <w:numPr>
          <w:ilvl w:val="0"/>
          <w:numId w:val="0"/>
        </w:numPr>
        <w:ind w:leftChars="0"/>
      </w:pPr>
      <w:bookmarkStart w:id="25" w:name="三维视图"/>
      <w:bookmarkStart w:id="26" w:name="模型观察"/>
      <w:r>
        <w:drawing>
          <wp:inline distT="0" distB="0" distL="114300" distR="114300">
            <wp:extent cx="5010150" cy="46101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010150" cy="4610100"/>
                    </a:xfrm>
                    <a:prstGeom prst="rect">
                      <a:avLst/>
                    </a:prstGeom>
                    <a:noFill/>
                    <a:ln>
                      <a:noFill/>
                    </a:ln>
                  </pic:spPr>
                </pic:pic>
              </a:graphicData>
            </a:graphic>
          </wp:inline>
        </w:drawing>
      </w:r>
      <w:bookmarkEnd w:id="25"/>
      <w:bookmarkEnd w:id="26"/>
      <w:bookmarkStart w:id="27" w:name="_Toc50050014"/>
      <w:bookmarkStart w:id="28" w:name="_Toc28117"/>
    </w:p>
    <w:p>
      <w:pPr>
        <w:pStyle w:val="2"/>
      </w:pPr>
      <w:r>
        <w:rPr>
          <w:rFonts w:hint="eastAsia"/>
        </w:rPr>
        <w:t>计算</w:t>
      </w:r>
      <w:r>
        <w:t>依据</w:t>
      </w:r>
      <w:bookmarkEnd w:id="12"/>
      <w:bookmarkEnd w:id="13"/>
      <w:bookmarkEnd w:id="27"/>
      <w:bookmarkEnd w:id="28"/>
    </w:p>
    <w:p>
      <w:pPr>
        <w:pStyle w:val="3"/>
        <w:ind w:firstLine="199" w:firstLineChars="95"/>
        <w:rPr>
          <w:lang w:val="en-US"/>
        </w:rPr>
      </w:pPr>
      <w:bookmarkStart w:id="29" w:name="_Toc452108763"/>
      <w:r>
        <w:rPr>
          <w:rFonts w:hint="eastAsia"/>
          <w:lang w:val="en-US"/>
        </w:rPr>
        <w:t>本项目主要参照资料为：</w:t>
      </w:r>
    </w:p>
    <w:p>
      <w:pPr>
        <w:pStyle w:val="3"/>
        <w:numPr>
          <w:ilvl w:val="0"/>
          <w:numId w:val="2"/>
        </w:numPr>
        <w:ind w:left="0" w:firstLine="200" w:firstLineChars="0"/>
        <w:rPr>
          <w:lang w:val="en-US"/>
        </w:rPr>
      </w:pPr>
      <w:r>
        <w:rPr>
          <w:rFonts w:hint="eastAsia"/>
          <w:lang w:val="en-US"/>
        </w:rPr>
        <w:t>《绿色建筑评价标准（京津冀）》DB13(J)/T8427-2021</w:t>
      </w:r>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2"/>
      </w:pPr>
      <w:bookmarkStart w:id="30" w:name="_Toc30966"/>
      <w:bookmarkStart w:id="31" w:name="_Toc50050015"/>
      <w:r>
        <w:rPr>
          <w:rFonts w:hint="eastAsia"/>
        </w:rPr>
        <w:t>参考</w:t>
      </w:r>
      <w:r>
        <w:t>标准</w:t>
      </w:r>
      <w:bookmarkEnd w:id="29"/>
      <w:bookmarkEnd w:id="30"/>
      <w:bookmarkEnd w:id="31"/>
    </w:p>
    <w:p>
      <w:pPr>
        <w:pStyle w:val="3"/>
        <w:numPr>
          <w:ilvl w:val="0"/>
          <w:numId w:val="2"/>
        </w:numPr>
        <w:ind w:left="0" w:firstLine="200" w:firstLineChars="0"/>
        <w:rPr>
          <w:lang w:val="en-US"/>
        </w:rPr>
      </w:pPr>
      <w:bookmarkStart w:id="32" w:name="_Toc451698935"/>
      <w:bookmarkStart w:id="33" w:name="_Toc452108764"/>
      <w:bookmarkStart w:id="34" w:name="_Toc451436145"/>
      <w:r>
        <w:rPr>
          <w:rFonts w:hint="eastAsia"/>
          <w:lang w:val="en-US"/>
        </w:rPr>
        <w:t>室内气流组织评价的主要依据为《绿色建筑评价标准（京津冀）》DB13(J)/T8427-2021中控制项5.1.2条的要求，具体要求如下：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5" w:name="_Toc50050016"/>
      <w:bookmarkStart w:id="36" w:name="_Toc29541"/>
      <w:r>
        <w:rPr>
          <w:rFonts w:hint="eastAsia"/>
        </w:rPr>
        <w:t>技术措施</w:t>
      </w:r>
      <w:bookmarkEnd w:id="35"/>
      <w:bookmarkEnd w:id="36"/>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房间类型</w:t>
            </w:r>
          </w:p>
        </w:tc>
        <w:tc>
          <w:tcPr>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厨房</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rPr>
                <w:sz w:val="21"/>
                <w:szCs w:val="21"/>
              </w:rPr>
            </w:pPr>
            <w:r>
              <w:rPr>
                <w:sz w:val="21"/>
                <w:szCs w:val="21"/>
              </w:rPr>
              <w:t>卫生间</w:t>
            </w:r>
          </w:p>
        </w:tc>
        <w:tc>
          <w:tcPr>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rPr>
                <w:sz w:val="21"/>
                <w:szCs w:val="21"/>
              </w:rPr>
            </w:pPr>
          </w:p>
        </w:tc>
        <w:tc>
          <w:tcPr>
            <w:vAlign w:val="center"/>
          </w:tcPr>
          <w:p>
            <w:pPr>
              <w:rPr>
                <w:sz w:val="21"/>
                <w:szCs w:val="21"/>
              </w:rPr>
            </w:pPr>
            <w:r>
              <w:rPr>
                <w:sz w:val="21"/>
                <w:szCs w:val="21"/>
              </w:rPr>
              <w:t>排放位置合理，远离其他空间/室外人员活动区</w:t>
            </w:r>
          </w:p>
        </w:tc>
      </w:tr>
    </w:tbl>
    <w:p>
      <w:pPr>
        <w:pStyle w:val="3"/>
        <w:ind w:firstLine="420"/>
        <w:rPr>
          <w:lang w:val="en-US"/>
        </w:rPr>
      </w:pPr>
      <w:bookmarkStart w:id="37" w:name="技术措施"/>
      <w:bookmarkEnd w:id="37"/>
    </w:p>
    <w:p>
      <w:pPr>
        <w:pStyle w:val="2"/>
      </w:pPr>
      <w:bookmarkStart w:id="38" w:name="_Toc50050017"/>
      <w:bookmarkStart w:id="39" w:name="_Toc88"/>
      <w:r>
        <w:rPr>
          <w:rFonts w:hint="eastAsia"/>
        </w:rPr>
        <w:t>计算</w:t>
      </w:r>
      <w:bookmarkEnd w:id="32"/>
      <w:bookmarkEnd w:id="33"/>
      <w:r>
        <w:rPr>
          <w:rFonts w:hint="eastAsia"/>
        </w:rPr>
        <w:t>方法</w:t>
      </w:r>
      <w:bookmarkEnd w:id="38"/>
      <w:bookmarkEnd w:id="39"/>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0" w:name="_Toc13743"/>
      <w:bookmarkStart w:id="41" w:name="_Toc50050018"/>
      <w:r>
        <w:t>CFD</w:t>
      </w:r>
      <w:r>
        <w:rPr>
          <w:rFonts w:hint="eastAsia"/>
        </w:rPr>
        <w:t>计算原理</w:t>
      </w:r>
      <w:bookmarkEnd w:id="40"/>
      <w:bookmarkEnd w:id="41"/>
    </w:p>
    <w:p>
      <w:pPr>
        <w:pStyle w:val="5"/>
      </w:pPr>
      <w:bookmarkStart w:id="42" w:name="_Toc20037"/>
      <w:bookmarkStart w:id="43" w:name="_Toc50050019"/>
      <w:bookmarkStart w:id="44" w:name="_Toc451698937"/>
      <w:bookmarkStart w:id="45" w:name="_Toc452108765"/>
      <w:r>
        <w:rPr>
          <w:rFonts w:hint="eastAsia"/>
        </w:rPr>
        <w:t>湍流模型</w:t>
      </w:r>
      <w:bookmarkEnd w:id="42"/>
      <w:bookmarkEnd w:id="4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6" w:name="_Toc13090"/>
      <w:bookmarkStart w:id="47" w:name="_Toc451698938"/>
      <w:bookmarkStart w:id="48" w:name="_Toc8151"/>
      <w:bookmarkStart w:id="49" w:name="_Toc50050020"/>
      <w:bookmarkStart w:id="50" w:name="_Toc452108766"/>
      <w:r>
        <w:rPr>
          <w:rFonts w:hint="eastAsia"/>
        </w:rPr>
        <w:t>边界条件</w:t>
      </w:r>
      <w:bookmarkEnd w:id="46"/>
      <w:bookmarkEnd w:id="47"/>
      <w:bookmarkEnd w:id="48"/>
      <w:bookmarkEnd w:id="49"/>
      <w:bookmarkEnd w:id="50"/>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1" w:name="_Toc12127"/>
      <w:bookmarkStart w:id="52" w:name="_Toc50050021"/>
      <w:bookmarkStart w:id="53" w:name="_Toc23583"/>
      <w:bookmarkStart w:id="54" w:name="_Toc451698939"/>
      <w:bookmarkStart w:id="55" w:name="_Toc452108767"/>
      <w:r>
        <w:rPr>
          <w:rFonts w:hint="eastAsia"/>
        </w:rPr>
        <w:t>求解计算</w:t>
      </w:r>
      <w:bookmarkEnd w:id="51"/>
      <w:bookmarkEnd w:id="52"/>
      <w:bookmarkEnd w:id="53"/>
      <w:bookmarkEnd w:id="54"/>
      <w:bookmarkEnd w:id="55"/>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6"/>
      <w:r>
        <w:rPr>
          <w:rFonts w:hint="eastAsia" w:ascii="黑体" w:hAnsi="黑体" w:eastAsia="黑体"/>
          <w:sz w:val="20"/>
          <w:szCs w:val="20"/>
        </w:rPr>
        <w:t xml:space="preserve"> </w:t>
      </w:r>
      <w:bookmarkStart w:id="57" w:name="_Ref225175618"/>
      <w:r>
        <w:rPr>
          <w:rFonts w:hint="eastAsia" w:ascii="黑体" w:hAnsi="黑体" w:eastAsia="黑体"/>
          <w:sz w:val="20"/>
          <w:szCs w:val="20"/>
        </w:rPr>
        <w:t>计算流体力学的控制方程</w:t>
      </w:r>
      <w:bookmarkEnd w:id="57"/>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8" w:name="_Toc50050022"/>
      <w:bookmarkStart w:id="59" w:name="_Toc22039"/>
      <w:bookmarkStart w:id="60" w:name="_Toc3745"/>
      <w:bookmarkStart w:id="61" w:name="_Toc452108768"/>
      <w:r>
        <w:rPr>
          <w:rFonts w:hint="eastAsia"/>
        </w:rPr>
        <w:t>结果</w:t>
      </w:r>
      <w:r>
        <w:t>分析</w:t>
      </w:r>
      <w:bookmarkEnd w:id="58"/>
      <w:bookmarkEnd w:id="59"/>
      <w:bookmarkEnd w:id="60"/>
      <w:bookmarkEnd w:id="61"/>
    </w:p>
    <w:p>
      <w:pPr>
        <w:pStyle w:val="4"/>
      </w:pPr>
      <w:bookmarkStart w:id="62" w:name="_Toc31704"/>
      <w:bookmarkStart w:id="63" w:name="_Toc50050023"/>
      <w:r>
        <w:rPr>
          <w:rFonts w:hint="eastAsia"/>
        </w:rPr>
        <w:t>室内速度场分布</w:t>
      </w:r>
      <w:bookmarkEnd w:id="62"/>
      <w:bookmarkEnd w:id="63"/>
    </w:p>
    <w:p>
      <w:pPr>
        <w:pStyle w:val="3"/>
        <w:ind w:firstLine="0" w:firstLineChars="0"/>
        <w:jc w:val="center"/>
        <w:rPr>
          <w:rFonts w:ascii="黑体" w:hAnsi="黑体" w:eastAsia="黑体"/>
          <w:lang w:val="en-US"/>
        </w:rPr>
      </w:pPr>
      <w:bookmarkStart w:id="64" w:name="速度云图"/>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bookmarkEnd w:id="64"/>
    <w:p>
      <w:pPr>
        <w:pStyle w:val="31"/>
        <w:ind w:firstLine="420"/>
        <w:jc w:val="center"/>
        <w:rPr>
          <w:rFonts w:ascii="Times New Roman" w:hAnsi="Times New Roman"/>
          <w:color w:val="auto"/>
          <w:sz w:val="21"/>
          <w:szCs w:val="21"/>
        </w:rPr>
      </w:pPr>
      <w:bookmarkStart w:id="65" w:name="_Toc50050024"/>
      <w:r>
        <w:rPr>
          <w:rFonts w:ascii="Times New Roman" w:hAnsi="Times New Roman"/>
          <w:color w:val="auto"/>
          <w:sz w:val="21"/>
          <w:szCs w:val="21"/>
        </w:rPr>
        <w:t>图6-1 室内速度分布</w:t>
      </w:r>
    </w:p>
    <w:p>
      <w:pPr>
        <w:pStyle w:val="4"/>
      </w:pPr>
      <w:bookmarkStart w:id="66" w:name="_Toc14413"/>
      <w:r>
        <w:rPr>
          <w:rFonts w:hint="eastAsia"/>
        </w:rPr>
        <w:t>室内风速矢量图</w:t>
      </w:r>
      <w:bookmarkEnd w:id="65"/>
      <w:bookmarkEnd w:id="66"/>
    </w:p>
    <w:p>
      <w:pPr>
        <w:pStyle w:val="3"/>
        <w:ind w:firstLine="0" w:firstLineChars="0"/>
        <w:jc w:val="center"/>
        <w:rPr>
          <w:lang w:val="en-US"/>
        </w:rPr>
      </w:pPr>
      <w:bookmarkStart w:id="67" w:name="速度矢量图"/>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bookmarkEnd w:id="67"/>
    <w:p>
      <w:pPr>
        <w:pStyle w:val="31"/>
        <w:ind w:firstLine="420"/>
        <w:jc w:val="center"/>
        <w:rPr>
          <w:rFonts w:ascii="Times New Roman" w:hAnsi="Times New Roman"/>
          <w:color w:val="auto"/>
          <w:sz w:val="21"/>
          <w:szCs w:val="21"/>
        </w:rPr>
      </w:pPr>
      <w:bookmarkStart w:id="68" w:name="_Toc50050025"/>
      <w:r>
        <w:rPr>
          <w:rFonts w:ascii="Times New Roman" w:hAnsi="Times New Roman"/>
          <w:color w:val="auto"/>
          <w:sz w:val="21"/>
          <w:szCs w:val="21"/>
        </w:rPr>
        <w:t>图6-2 室内风速矢量图</w:t>
      </w:r>
    </w:p>
    <w:p>
      <w:pPr>
        <w:pStyle w:val="4"/>
      </w:pPr>
      <w:bookmarkStart w:id="69" w:name="_Toc18294"/>
      <w:r>
        <w:rPr>
          <w:rFonts w:hint="eastAsia"/>
        </w:rPr>
        <w:t>流线图</w:t>
      </w:r>
      <w:bookmarkEnd w:id="69"/>
    </w:p>
    <w:p>
      <w:pPr>
        <w:pStyle w:val="3"/>
        <w:ind w:firstLine="420"/>
        <w:jc w:val="center"/>
        <w:rPr>
          <w:lang w:val="en-US"/>
        </w:rPr>
      </w:pPr>
      <w:bookmarkStart w:id="70" w:name="流线图"/>
      <w:bookmarkEnd w:id="70"/>
      <w:r>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71" w:name="_Toc9039"/>
      <w:r>
        <w:rPr>
          <w:rFonts w:hint="eastAsia"/>
          <w:sz w:val="36"/>
          <w:szCs w:val="36"/>
        </w:rPr>
        <w:t>结论</w:t>
      </w:r>
      <w:bookmarkEnd w:id="68"/>
      <w:bookmarkEnd w:id="71"/>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4"/>
    <w:bookmarkEnd w:id="44"/>
    <w:bookmarkEnd w:id="45"/>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zM2UxYzI2NjgxNTNkMDkyMTA0ZjZjNzlmNmNjNjgifQ=="/>
  </w:docVars>
  <w:rsids>
    <w:rsidRoot w:val="00172A2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50B78C3"/>
    <w:rsid w:val="1F30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numbering" Target="numbering.xml"/><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tmp7.dotx</Template>
  <Pages>12</Pages>
  <Words>1398</Words>
  <Characters>1603</Characters>
  <Lines>18</Lines>
  <Paragraphs>5</Paragraphs>
  <TotalTime>12</TotalTime>
  <ScaleCrop>false</ScaleCrop>
  <LinksUpToDate>false</LinksUpToDate>
  <CharactersWithSpaces>1716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2024-04-23T08:55:00Z</dcterms:created>
  <dc:creator>萱萱</dc:creator>
  <cp:lastModifiedBy>萱萱</cp:lastModifiedBy>
  <dcterms:modified xsi:type="dcterms:W3CDTF">2024-04-24T03:09:43Z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A04FF5A11A1B40E9BB4DDC9C1CE921D9_11</vt:lpwstr>
  </property>
  <property fmtid="{D5CDD505-2E9C-101B-9397-08002B2CF9AE}" pid="3" name="KSOProductBuildVer">
    <vt:lpwstr>2052-12.1.0.15374</vt:lpwstr>
  </property>
</Properties>
</file>