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本项目采暖热源为市政热源，不对其热源机组能效进行评价。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室内</w:t>
            </w:r>
            <w:r>
              <w:rPr>
                <w:rFonts w:hint="eastAsia" w:ascii="宋体" w:hAnsi="宋体" w:cs="宋体"/>
                <w:kern w:val="0"/>
                <w:szCs w:val="21"/>
              </w:rPr>
              <w:t>采用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分体空调或多联式空调，分体空调能效比EER比《公共建筑节能设计标准》GB50189提高16%，且满足《建筑节能与可再生能源利用通用规范》GB55015表3.2.13的规定；多联式空调（热泵）机组IPLV(C)比《公共建筑节能设计标准》GB50189提高16%，且满足《建筑节能与可再生能源利用通用规范》GB55015表3.2.12的规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及设计说明，</w:t>
            </w:r>
            <w:r>
              <w:rPr>
                <w:rFonts w:ascii="Times New Roman" w:hAnsi="Times New Roman" w:cs="Times New Roman" w:eastAsiaTheme="majorEastAsia"/>
              </w:rPr>
              <w:t>包含设备表等设计文件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1A24E1"/>
    <w:rsid w:val="00074A38"/>
    <w:rsid w:val="000C229C"/>
    <w:rsid w:val="001A24E1"/>
    <w:rsid w:val="002D6297"/>
    <w:rsid w:val="00844F54"/>
    <w:rsid w:val="00922410"/>
    <w:rsid w:val="00BA0ED7"/>
    <w:rsid w:val="00BD0BCF"/>
    <w:rsid w:val="00D3334C"/>
    <w:rsid w:val="00E27289"/>
    <w:rsid w:val="00F56B40"/>
    <w:rsid w:val="747B596E"/>
    <w:rsid w:val="7A33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2</TotalTime>
  <ScaleCrop>false</ScaleCrop>
  <LinksUpToDate>false</LinksUpToDate>
  <CharactersWithSpaces>1078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Administrator</cp:lastModifiedBy>
  <dcterms:modified xsi:type="dcterms:W3CDTF">2024-04-26T05:56:06Z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CE46F1B3F6D34DE380DB0AD49C72A1DB_12</vt:lpwstr>
  </property>
</Properties>
</file>