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body>
    <w:p>
      <w:pPr>
        <w:jc w:val="center"/>
      </w:pPr>
      <w:r>
        <w:rPr>
          <w:rFonts w:hint="eastAsia" w:ascii="宋体" w:hAnsi="宋体"/>
          <w:b/>
          <w:bCs/>
          <w:color w:val="000000"/>
          <w:sz w:val="24"/>
          <w:szCs w:val="24"/>
        </w:rPr>
        <w:t>5 健康舒适</w:t>
      </w:r>
    </w:p>
    <w:tbl>
      <w:tblPr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</w:tblPr>
      <w:tr>
        <w:tc>
          <w:tcPr>
            <w:tcW w:w="1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子项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2"/>
                <w:szCs w:val="22"/>
              </w:rPr>
              <w:t>条文编号</w:t>
            </w:r>
          </w:p>
        </w:tc>
        <w:tc>
          <w:tcPr>
            <w:tcW w:w="50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条文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满分</w:t>
            </w:r>
          </w:p>
        </w:tc>
        <w:tc>
          <w:tcPr>
            <w:tcW w:w="800" w:type="dxa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达标/得分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控制项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空气污染物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避免室内空气污染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给排水系统合规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室内声环境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建筑照明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暖通设计参数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围护结构热工性能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室内热环境调节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5.1.9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地下车库CO监测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/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√</w:t>
            </w:r>
          </w:p>
        </w:tc>
      </w:tr>
      <w:tr>
        <w:tc>
          <w:tcPr>
            <w:tcW w:w="1000" w:type="dxa"/>
            <w:v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评分项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空气污染物浓度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5.2.2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装修材料安全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5.2.3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水质安全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5.2.4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饮用水储水卫生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5.2.5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给排水管线标识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5.2.6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室内噪声级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5.2.7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构件隔声性能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3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5.2.8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天然采光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5.2.9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室内热湿环境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5.2.10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自然通风优化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7</w:t>
            </w:r>
          </w:p>
        </w:tc>
      </w:tr>
      <w:tr>
        <w:tc>
          <w:tcPr>
            <w:tcW w:w="1000" w:type="dxa"/>
            <w:v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5.2.11</w:t>
            </w:r>
          </w:p>
        </w:tc>
        <w:tc>
          <w:tcPr>
            <w:tcW w:w="5000" w:type="dxa"/>
            <w:vAlign w:val="center"/>
          </w:tcPr>
          <w:p>
            <w:pPr>
              <w:spacing w:before="0" w:after="3" w:lineRule="auto"/>
              <w:jc w:val="left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可调节遮阳设施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9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0</w:t>
            </w:r>
          </w:p>
        </w:tc>
      </w:tr>
      <w:tr>
        <w:tc>
          <w:tcPr>
            <w:tcW w:w="1000" w:type="dxa"/>
            <w:hMerge w:val="restart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8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5000" w:type="dxa"/>
            <w:hMerge w:val="continue"/>
            <w:shd w:color="auto" w:fill="DCDCDC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/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800" w:type="dxa"/>
            <w:vAlign w:val="center"/>
          </w:tcPr>
          <w:p>
            <w:pPr>
              <w:spacing w:before="0" w:after="3" w:lineRule="auto"/>
              <w:jc w:val="center"/>
            </w:pPr>
            <w:r>
              <w:rPr>
                <w:rFonts w:hint="eastAsia" w:ascii="宋体" w:hAnsi="宋体"/>
                <w:bCs/>
                <w:color w:val="000000"/>
                <w:sz w:val="22"/>
                <w:szCs w:val="22"/>
              </w:rPr>
              <w:t>61.0</w:t>
            </w:r>
          </w:p>
        </w:tc>
      </w:tr>
    </w:tbl>
    <w:sectPr>
      <w:pgSz w:w="11907" w:h="16839" w:code="9"/>
      <w:pgMar w:top="500" w:right="1440" w:bottom="100" w:left="1440"/>
    </w:sectPr>
  </w:body>
</w:document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ns5="http://schemas.openxmlformats.org/schemaLibrary/2006/main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w10="urn:schemas-microsoft-com:office:word" xmlns:v="urn:schemas-microsoft-com:vml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14="http://schemas.microsoft.com/office/word/2010/wordprocessingDrawing" xmlns:ns32="http://schemas.openxmlformats.org/drawingml/2006/compatibility" xmlns:ns33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