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绿色建筑性能评价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申报项目名称： 保定市博鑫报废机动车拆解有限公司新建报废机动车回收拆解项目办公楼</w:t>
      </w:r>
    </w:p>
    <w:p>
      <w:pPr>
        <w:jc w:val="left"/>
      </w:pPr>
      <w:r>
        <w:rPr>
          <w:rFonts w:hint="eastAsia" w:ascii="宋体" w:hAnsi="宋体"/>
          <w:bCs/>
          <w:color w:val="000000"/>
          <w:sz w:val="30"/>
          <w:szCs w:val="30"/>
        </w:rPr>
        <w:t>申报单位名称： </w:t>
      </w:r>
    </w:p>
    <w:p>
      <w:pPr>
        <w:jc w:val="left"/>
      </w:pPr>
      <w:r>
        <w:rPr>
          <w:rFonts w:hint="eastAsia" w:ascii="宋体" w:hAnsi="宋体"/>
          <w:bCs/>
          <w:color w:val="000000"/>
          <w:sz w:val="30"/>
          <w:szCs w:val="30"/>
        </w:rPr>
        <w:t>参与单位名称：</w:t>
      </w:r>
    </w:p>
    <w:p>
      <w:pPr>
        <w:jc w:val="left"/>
      </w:pPr>
      <w:r>
        <w:rPr>
          <w:rFonts w:hint="eastAsia" w:ascii="宋体" w:hAnsi="宋体"/>
          <w:bCs/>
          <w:color w:val="000000"/>
          <w:sz w:val="30"/>
          <w:szCs w:val="30"/>
        </w:rPr>
        <w:t>咨询单位名称：</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自评星级：  基本级</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
      </w:r>
    </w:p>
    <w:p>
      <w:pPr>
        <w:jc w:val="center"/>
      </w:pPr>
      <w:r>
        <w:rPr>
          <w:rFonts w:hint="eastAsia" w:ascii="宋体" w:hAnsi="宋体"/>
          <w:b/>
          <w:bCs/>
          <w:color w:val="000000"/>
          <w:sz w:val="32"/>
          <w:szCs w:val="32"/>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一、自评总述</w:t>
      </w:r>
    </w:p>
    <w:p>
      <w:pPr>
        <w:jc w:val="left"/>
      </w:pPr>
      <w:r>
        <w:rPr>
          <w:rFonts w:hint="eastAsia" w:ascii="宋体" w:hAnsi="宋体"/>
          <w:bCs/>
          <w:color w:val="000000"/>
          <w:sz w:val="30"/>
          <w:szCs w:val="30"/>
        </w:rPr>
        <w:t>经自评估，本项目控制项全部达标</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 w:type="dxa"/>
            <w:vAlign w:val="center"/>
          </w:tcPr>
          <w:p>
            <w:pPr>
              <w:spacing w:before="0" w:after="3" w:lineRule="auto"/>
              <w:jc w:val="center"/>
            </w:pPr>
            <w:r>
              <w:rPr>
                <w:rFonts w:hint="eastAsia" w:ascii="宋体" w:hAnsi="宋体"/>
                <w:b/>
                <w:bCs/>
                <w:color w:val="000000"/>
                <w:sz w:val="22"/>
                <w:szCs w:val="22"/>
              </w:rPr>
              <w:t>总分</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4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 w:type="dxa"/>
            <w:vAlign w:val="center"/>
          </w:tcPr>
          <w:p>
            <w:pPr>
              <w:spacing w:before="0" w:after="3" w:lineRule="auto"/>
              <w:jc w:val="center"/>
            </w:pPr>
            <w:r>
              <w:rPr>
                <w:rFonts w:hint="eastAsia" w:ascii="宋体" w:hAnsi="宋体"/>
                <w:b/>
                <w:bCs/>
                <w:color w:val="000000"/>
                <w:sz w:val="22"/>
                <w:szCs w:val="22"/>
              </w:rPr>
              <w:t>10</w:t>
            </w:r>
          </w:p>
        </w:tc>
      </w:tr>
    </w:tbl>
    <w:p>
      <w:pPr>
        <w:jc w:val="left"/>
      </w:pPr>
      <w:r>
        <w:rPr>
          <w:rFonts w:hint="eastAsia" w:ascii="宋体" w:hAnsi="宋体"/>
          <w:bCs/>
          <w:color w:val="000000"/>
          <w:sz w:val="24"/>
          <w:szCs w:val="24"/>
          <w:u w:val="single"/>
        </w:rPr>
        <w:t/>
      </w:r>
    </w:p>
    <w:p>
      <w:pPr>
        <w:jc w:val="left"/>
      </w:pPr>
      <w:r>
        <w:rPr>
          <w:rFonts w:hint="eastAsia" w:ascii="宋体" w:hAnsi="宋体"/>
          <w:bCs/>
          <w:color w:val="000000"/>
          <w:sz w:val="24"/>
          <w:szCs w:val="24"/>
        </w:rPr>
        <w:t/>
      </w:r>
      <w:r>
        <w:rPr>
          <w:rFonts w:hint="eastAsia" w:ascii="宋体" w:hAnsi="宋体"/>
          <w:bCs/>
          <w:color w:val="000000"/>
          <w:sz w:val="24"/>
          <w:szCs w:val="24"/>
        </w:rPr>
        <w:t>得分情况：</w:t>
      </w:r>
    </w:p>
    <w:p>
      <w:pPr>
        <w:jc w:val="center"/>
      </w:pPr>
      <w:r>
        <w:rPr>
          <w:rFonts w:hint="eastAsia" w:ascii="宋体" w:hAnsi="宋体"/>
          <w:bCs/>
          <w:color w:val="000000"/>
          <w:sz w:val="24"/>
          <w:szCs w:val="24"/>
        </w:rPr>
        <w:t>评价指标体系评分项</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安全耐久</w:t>
            </w:r>
          </w:p>
        </w:tc>
        <w:tc>
          <w:tcPr>
            <w:tcW w:w="1900" w:type="dxa"/>
            <w:vAlign w:val="center"/>
          </w:tcPr>
          <w:p>
            <w:pPr>
              <w:spacing w:before="0" w:after="3" w:lineRule="auto"/>
              <w:jc w:val="center"/>
            </w:pPr>
            <w:r>
              <w:rPr>
                <w:rFonts w:hint="eastAsia" w:ascii="宋体" w:hAnsi="宋体"/>
                <w:bCs/>
                <w:color w:val="000000"/>
                <w:sz w:val="24"/>
                <w:szCs w:val="24"/>
              </w:rPr>
              <w:t>健康舒适</w:t>
            </w:r>
          </w:p>
        </w:tc>
        <w:tc>
          <w:tcPr>
            <w:tcW w:w="1900" w:type="dxa"/>
            <w:vAlign w:val="center"/>
          </w:tcPr>
          <w:p>
            <w:pPr>
              <w:spacing w:before="0" w:after="3" w:lineRule="auto"/>
              <w:jc w:val="center"/>
            </w:pPr>
            <w:r>
              <w:rPr>
                <w:rFonts w:hint="eastAsia" w:ascii="宋体" w:hAnsi="宋体"/>
                <w:bCs/>
                <w:color w:val="000000"/>
                <w:sz w:val="24"/>
                <w:szCs w:val="24"/>
              </w:rPr>
              <w:t>生活便利</w:t>
            </w:r>
          </w:p>
        </w:tc>
        <w:tc>
          <w:tcPr>
            <w:tcW w:w="1900" w:type="dxa"/>
            <w:vAlign w:val="center"/>
          </w:tcPr>
          <w:p>
            <w:pPr>
              <w:spacing w:before="0" w:after="3" w:lineRule="auto"/>
              <w:jc w:val="center"/>
            </w:pPr>
            <w:r>
              <w:rPr>
                <w:rFonts w:hint="eastAsia" w:ascii="宋体" w:hAnsi="宋体"/>
                <w:bCs/>
                <w:color w:val="000000"/>
                <w:sz w:val="24"/>
                <w:szCs w:val="24"/>
              </w:rPr>
              <w:t>资源节约</w:t>
            </w:r>
          </w:p>
        </w:tc>
        <w:tc>
          <w:tcPr>
            <w:tcW w:w="1900" w:type="dxa"/>
            <w:vAlign w:val="center"/>
          </w:tcPr>
          <w:p>
            <w:pPr>
              <w:spacing w:before="0" w:after="3" w:lineRule="auto"/>
              <w:jc w:val="center"/>
            </w:pPr>
            <w:r>
              <w:rPr>
                <w:rFonts w:hint="eastAsia" w:ascii="宋体" w:hAnsi="宋体"/>
                <w:bCs/>
                <w:color w:val="000000"/>
                <w:sz w:val="24"/>
                <w:szCs w:val="24"/>
              </w:rPr>
              <w:t>环境宜居</w:t>
            </w:r>
          </w:p>
        </w:tc>
        <w:tc>
          <w:tcPr>
            <w:tcW w:w="1000" w:type="dxa"/>
            <w:vAlign w:val="center"/>
          </w:tcPr>
          <w:p>
            <w:pPr>
              <w:jc w:val="center"/>
            </w:pPr>
            <w:r>
              <w:rPr>
                <w:rFonts w:hint="eastAsia" w:ascii="宋体" w:hAnsi="宋体"/>
                <w:bCs/>
                <w:color w:val="000000"/>
                <w:sz w:val="24"/>
                <w:szCs w:val="24"/>
              </w:rPr>
              <w:t>提高与创新</w:t>
            </w:r>
          </w:p>
        </w:tc>
      </w:tr>
      <w:tr>
        <w:tc>
          <w:tcPr>
            <w:tcW w:w="1" w:type="dxa"/>
            <w:vAlign w:val="center"/>
          </w:tcPr>
          <w:p>
            <w:pPr>
              <w:spacing w:before="0" w:after="3" w:lineRule="auto"/>
              <w:jc w:val="center"/>
            </w:pPr>
            <w:r>
              <w:rPr>
                <w:rFonts w:hint="eastAsia" w:ascii="宋体" w:hAnsi="宋体"/>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 w:type="dxa"/>
            <w:vAlign w:val="center"/>
          </w:tcPr>
          <w:p>
            <w:pPr>
              <w:spacing w:before="0" w:after="3" w:lineRule="auto"/>
              <w:jc w:val="center"/>
            </w:pPr>
            <w:r>
              <w:rPr>
                <w:rFonts w:hint="eastAsia" w:ascii="宋体" w:hAnsi="宋体"/>
                <w:bCs/>
                <w:color w:val="000000"/>
                <w:sz w:val="24"/>
                <w:szCs w:val="24"/>
              </w:rPr>
              <w:t>100</w:t>
            </w:r>
          </w:p>
        </w:tc>
      </w:tr>
      <w:tr>
        <w:tc>
          <w:tcPr>
            <w:tcW w:w="1400" w:type="dxa"/>
            <w:vAlign w:val="center"/>
          </w:tcPr>
          <w:p>
            <w:pPr>
              <w:spacing w:before="0" w:after="3" w:lineRule="auto"/>
              <w:jc w:val="center"/>
            </w:pPr>
            <w:r>
              <w:rPr>
                <w:rFonts w:hint="eastAsia" w:ascii="宋体" w:hAnsi="宋体"/>
                <w:bCs/>
                <w:color w:val="000000"/>
                <w:sz w:val="24"/>
                <w:szCs w:val="24"/>
              </w:rPr>
              <w:t>自评得分</w:t>
            </w:r>
          </w:p>
        </w:tc>
        <w:tc>
          <w:tcPr>
            <w:tcW w:w="1200" w:type="dxa"/>
            <w:vAlign w:val="center"/>
          </w:tcPr>
          <w:p>
            <w:pPr>
              <w:spacing w:before="0" w:after="3" w:lineRule="auto"/>
              <w:jc w:val="center"/>
            </w:pPr>
            <w:r>
              <w:rPr>
                <w:rFonts w:hint="eastAsia" w:ascii="宋体" w:hAnsi="宋体"/>
                <w:bCs/>
                <w:color w:val="000000"/>
                <w:sz w:val="24"/>
                <w:szCs w:val="24"/>
              </w:rPr>
              <w:t>400</w:t>
            </w:r>
          </w:p>
        </w:tc>
        <w:tc>
          <w:tcPr>
            <w:tcW w:w="1200" w:type="dxa"/>
            <w:vAlign w:val="center"/>
          </w:tcPr>
          <w:p>
            <w:pPr>
              <w:spacing w:before="0" w:after="3" w:lineRule="auto"/>
              <w:jc w:val="center"/>
            </w:pPr>
            <w:r>
              <w:rPr>
                <w:rFonts w:hint="eastAsia" w:ascii="宋体" w:hAnsi="宋体"/>
                <w:bCs/>
                <w:color w:val="000000"/>
                <w:sz w:val="24"/>
                <w:szCs w:val="24"/>
              </w:rPr>
              <w:t>53.0</w:t>
            </w:r>
          </w:p>
        </w:tc>
        <w:tc>
          <w:tcPr>
            <w:tcW w:w="1200" w:type="dxa"/>
            <w:vAlign w:val="center"/>
          </w:tcPr>
          <w:p>
            <w:pPr>
              <w:spacing w:before="0" w:after="3" w:lineRule="auto"/>
              <w:jc w:val="center"/>
            </w:pPr>
            <w:r>
              <w:rPr>
                <w:rFonts w:hint="eastAsia" w:ascii="宋体" w:hAnsi="宋体"/>
                <w:bCs/>
                <w:color w:val="000000"/>
                <w:sz w:val="24"/>
                <w:szCs w:val="24"/>
              </w:rPr>
              <w:t>41.0</w:t>
            </w:r>
          </w:p>
        </w:tc>
        <w:tc>
          <w:tcPr>
            <w:tcW w:w="1200" w:type="dxa"/>
            <w:vAlign w:val="center"/>
          </w:tcPr>
          <w:p>
            <w:pPr>
              <w:spacing w:before="0" w:after="3" w:lineRule="auto"/>
              <w:jc w:val="center"/>
            </w:pPr>
            <w:r>
              <w:rPr>
                <w:rFonts w:hint="eastAsia" w:ascii="宋体" w:hAnsi="宋体"/>
                <w:bCs/>
                <w:color w:val="000000"/>
                <w:sz w:val="24"/>
                <w:szCs w:val="24"/>
              </w:rPr>
              <w:t>32.0</w:t>
            </w:r>
          </w:p>
        </w:tc>
        <w:tc>
          <w:tcPr>
            <w:tcW w:w="1400" w:type="dxa"/>
            <w:vAlign w:val="center"/>
          </w:tcPr>
          <w:p>
            <w:pPr>
              <w:spacing w:before="0" w:after="3" w:lineRule="auto"/>
              <w:jc w:val="center"/>
            </w:pPr>
            <w:r>
              <w:rPr>
                <w:rFonts w:hint="eastAsia" w:ascii="宋体" w:hAnsi="宋体"/>
                <w:bCs/>
                <w:color w:val="000000"/>
                <w:sz w:val="24"/>
                <w:szCs w:val="24"/>
              </w:rPr>
              <w:t>75.0</w:t>
            </w:r>
          </w:p>
        </w:tc>
        <w:tc>
          <w:tcPr>
            <w:tcW w:w="1200" w:type="dxa"/>
            <w:vAlign w:val="center"/>
          </w:tcPr>
          <w:p>
            <w:pPr>
              <w:spacing w:before="0" w:after="3" w:lineRule="auto"/>
              <w:jc w:val="center"/>
            </w:pPr>
            <w:r>
              <w:rPr>
                <w:rFonts w:hint="eastAsia" w:ascii="宋体" w:hAnsi="宋体"/>
                <w:bCs/>
                <w:color w:val="000000"/>
                <w:sz w:val="24"/>
                <w:szCs w:val="24"/>
              </w:rPr>
              <w:t>48.0</w:t>
            </w:r>
          </w:p>
        </w:tc>
        <w:tc>
          <w:tcPr>
            <w:tcW w:w="1" w:type="dxa"/>
            <w:vAlign w:val="center"/>
          </w:tcPr>
          <w:p>
            <w:pPr>
              <w:spacing w:before="0" w:after="3" w:lineRule="auto"/>
              <w:jc w:val="center"/>
            </w:pPr>
            <w:r>
              <w:rPr>
                <w:rFonts w:hint="eastAsia" w:ascii="宋体" w:hAnsi="宋体"/>
                <w:bCs/>
                <w:color w:val="000000"/>
                <w:sz w:val="24"/>
                <w:szCs w:val="24"/>
              </w:rPr>
              <w:t>5.0</w:t>
            </w:r>
          </w:p>
        </w:tc>
      </w:tr>
    </w:tbl>
    <w:p>
      <w:pPr>
        <w:jc w:val="center"/>
      </w:pPr>
      <w:r>
        <w:rPr>
          <w:rFonts w:hint="eastAsia" w:ascii="宋体" w:hAnsi="宋体"/>
          <w:bCs/>
          <w:color w:val="000000"/>
          <w:sz w:val="24"/>
          <w:szCs w:val="24"/>
        </w:rPr>
        <w:t>总得分：Q=（Q0+Q1+Q2+Q3+Q4+Q5+QA）/10=65.4</w:t>
      </w:r>
    </w:p>
    <w:p>
      <w:pPr>
        <w:jc w:val="center"/>
      </w:pPr>
      <w:r>
        <w:rPr>
          <w:rFonts w:hint="eastAsia" w:ascii="宋体" w:hAnsi="宋体"/>
          <w:b/>
          <w:bCs/>
          <w:color w:val="000000"/>
          <w:sz w:val="28"/>
          <w:szCs w:val="28"/>
        </w:rPr>
        <w:t/>
      </w:r>
    </w:p>
    <w:p>
      <w:r>
        <w:rPr>
          <w:rFonts w:hint="eastAsia" w:ascii="宋体" w:hAnsi="宋体"/>
          <w:b/>
          <w:bCs/>
          <w:color w:val="000000"/>
          <w:sz w:val="28"/>
          <w:szCs w:val="28"/>
        </w:rPr>
        <w:t>二、项目情况</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场地安全</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外部设施</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建筑内部非结构构件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外门窗性能</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防水防潮</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满足紧急疏散要求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安全防护标识系统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