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71" w:name="_GoBack"/>
      <w:bookmarkEnd w:id="71"/>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2024年4月19日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20240101(SP1)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T15989143731</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_Toc9278 </w:instrText>
      </w:r>
      <w:r>
        <w:rPr>
          <w:rFonts w:ascii="宋体" w:hAnsi="宋体"/>
          <w:caps/>
        </w:rPr>
        <w:fldChar w:fldCharType="separate"/>
      </w:r>
      <w:r>
        <w:t xml:space="preserve">1 </w:t>
      </w:r>
      <w:r>
        <w:rPr>
          <w:rFonts w:hint="eastAsia"/>
        </w:rPr>
        <w:t>建筑概况</w:t>
      </w:r>
      <w:r>
        <w:tab/>
      </w:r>
      <w:r>
        <w:fldChar w:fldCharType="begin"/>
      </w:r>
      <w:r>
        <w:instrText xml:space="preserve"> PAGEREF _Toc9278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_Toc468 </w:instrText>
      </w:r>
      <w:r>
        <w:fldChar w:fldCharType="separate"/>
      </w:r>
      <w:r>
        <w:t xml:space="preserve">2 </w:t>
      </w:r>
      <w:r>
        <w:rPr>
          <w:rFonts w:hint="eastAsia"/>
        </w:rPr>
        <w:t>评价依据</w:t>
      </w:r>
      <w:r>
        <w:tab/>
      </w:r>
      <w:r>
        <w:fldChar w:fldCharType="begin"/>
      </w:r>
      <w:r>
        <w:instrText xml:space="preserve"> PAGEREF _Toc468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_Toc32190 </w:instrText>
      </w:r>
      <w:r>
        <w:fldChar w:fldCharType="separate"/>
      </w:r>
      <w:r>
        <w:t xml:space="preserve">3 </w:t>
      </w:r>
      <w:r>
        <w:rPr>
          <w:rFonts w:hint="eastAsia"/>
        </w:rPr>
        <w:t>标准</w:t>
      </w:r>
      <w:r>
        <w:t>要求</w:t>
      </w:r>
      <w:r>
        <w:tab/>
      </w:r>
      <w:r>
        <w:fldChar w:fldCharType="begin"/>
      </w:r>
      <w:r>
        <w:instrText xml:space="preserve"> PAGEREF _Toc32190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_Toc30382 </w:instrText>
      </w:r>
      <w:r>
        <w:fldChar w:fldCharType="separate"/>
      </w:r>
      <w:r>
        <w:t xml:space="preserve">4 </w:t>
      </w:r>
      <w:r>
        <w:rPr>
          <w:rFonts w:hint="eastAsia"/>
        </w:rPr>
        <w:t>隔声理论概述</w:t>
      </w:r>
      <w:r>
        <w:tab/>
      </w:r>
      <w:r>
        <w:fldChar w:fldCharType="begin"/>
      </w:r>
      <w:r>
        <w:instrText xml:space="preserve"> PAGEREF _Toc30382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_Toc1473 </w:instrText>
      </w:r>
      <w:r>
        <w:fldChar w:fldCharType="separate"/>
      </w:r>
      <w:r>
        <w:t xml:space="preserve">4.1 </w:t>
      </w:r>
      <w:r>
        <w:rPr>
          <w:rFonts w:hint="eastAsia"/>
        </w:rPr>
        <w:t>原理概要</w:t>
      </w:r>
      <w:r>
        <w:tab/>
      </w:r>
      <w:r>
        <w:fldChar w:fldCharType="begin"/>
      </w:r>
      <w:r>
        <w:instrText xml:space="preserve"> PAGEREF _Toc1473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_Toc27408 </w:instrText>
      </w:r>
      <w:r>
        <w:fldChar w:fldCharType="separate"/>
      </w:r>
      <w:r>
        <w:t xml:space="preserve">4.2 </w:t>
      </w:r>
      <w:r>
        <w:rPr>
          <w:rFonts w:hint="eastAsia"/>
        </w:rPr>
        <w:t>质量定律</w:t>
      </w:r>
      <w:r>
        <w:tab/>
      </w:r>
      <w:r>
        <w:fldChar w:fldCharType="begin"/>
      </w:r>
      <w:r>
        <w:instrText xml:space="preserve"> PAGEREF _Toc27408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_Toc17145 </w:instrText>
      </w:r>
      <w:r>
        <w:fldChar w:fldCharType="separate"/>
      </w:r>
      <w:r>
        <w:t>4.3 隔声</w:t>
      </w:r>
      <w:r>
        <w:rPr>
          <w:rFonts w:hint="eastAsia"/>
        </w:rPr>
        <w:t>量计算经验</w:t>
      </w:r>
      <w:r>
        <w:t>公式</w:t>
      </w:r>
      <w:r>
        <w:tab/>
      </w:r>
      <w:r>
        <w:fldChar w:fldCharType="begin"/>
      </w:r>
      <w:r>
        <w:instrText xml:space="preserve"> PAGEREF _Toc17145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_Toc9585 </w:instrText>
      </w:r>
      <w:r>
        <w:fldChar w:fldCharType="separate"/>
      </w:r>
      <w:r>
        <w:t xml:space="preserve">4.4 </w:t>
      </w:r>
      <w:r>
        <w:rPr>
          <w:rFonts w:hint="eastAsia"/>
        </w:rPr>
        <w:t>单值评价量</w:t>
      </w:r>
      <w:r>
        <w:tab/>
      </w:r>
      <w:r>
        <w:fldChar w:fldCharType="begin"/>
      </w:r>
      <w:r>
        <w:instrText xml:space="preserve"> PAGEREF _Toc9585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_Toc31330 </w:instrText>
      </w:r>
      <w:r>
        <w:fldChar w:fldCharType="separate"/>
      </w:r>
      <w:r>
        <w:t xml:space="preserve">4.5 </w:t>
      </w:r>
      <w:r>
        <w:rPr>
          <w:rFonts w:hint="eastAsia"/>
        </w:rPr>
        <w:t>频谱修正量</w:t>
      </w:r>
      <w:r>
        <w:tab/>
      </w:r>
      <w:r>
        <w:fldChar w:fldCharType="begin"/>
      </w:r>
      <w:r>
        <w:instrText xml:space="preserve"> PAGEREF _Toc31330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_Toc5553 </w:instrText>
      </w:r>
      <w:r>
        <w:fldChar w:fldCharType="separate"/>
      </w:r>
      <w:r>
        <w:t xml:space="preserve">5 </w:t>
      </w:r>
      <w:r>
        <w:rPr>
          <w:rFonts w:hint="eastAsia"/>
        </w:rPr>
        <w:t>构件空气声隔声性能</w:t>
      </w:r>
      <w:r>
        <w:tab/>
      </w:r>
      <w:r>
        <w:fldChar w:fldCharType="begin"/>
      </w:r>
      <w:r>
        <w:instrText xml:space="preserve"> PAGEREF _Toc5553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_Toc1999 </w:instrText>
      </w:r>
      <w:r>
        <w:fldChar w:fldCharType="separate"/>
      </w:r>
      <w:r>
        <w:t xml:space="preserve">5.1 </w:t>
      </w:r>
      <w:r>
        <w:rPr>
          <w:rFonts w:hint="eastAsia"/>
        </w:rPr>
        <w:t>墙板的空气声隔声量</w:t>
      </w:r>
      <w:r>
        <w:tab/>
      </w:r>
      <w:r>
        <w:fldChar w:fldCharType="begin"/>
      </w:r>
      <w:r>
        <w:instrText xml:space="preserve"> PAGEREF _Toc1999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_Toc28165 </w:instrText>
      </w:r>
      <w:r>
        <w:fldChar w:fldCharType="separate"/>
      </w:r>
      <w:r>
        <w:t xml:space="preserve">5.1.1 </w:t>
      </w:r>
      <w:r>
        <w:rPr>
          <w:rFonts w:hint="eastAsia"/>
        </w:rPr>
        <w:t>墙板构造做法</w:t>
      </w:r>
      <w:r>
        <w:tab/>
      </w:r>
      <w:r>
        <w:fldChar w:fldCharType="begin"/>
      </w:r>
      <w:r>
        <w:instrText xml:space="preserve"> PAGEREF _Toc28165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_Toc11168 </w:instrText>
      </w:r>
      <w:r>
        <w:fldChar w:fldCharType="separate"/>
      </w:r>
      <w:r>
        <w:t xml:space="preserve">5.1.2 </w:t>
      </w:r>
      <w:r>
        <w:rPr>
          <w:rFonts w:hint="eastAsia"/>
        </w:rPr>
        <w:t>墙板空气声隔声性能</w:t>
      </w:r>
      <w:r>
        <w:tab/>
      </w:r>
      <w:r>
        <w:fldChar w:fldCharType="begin"/>
      </w:r>
      <w:r>
        <w:instrText xml:space="preserve"> PAGEREF _Toc11168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_Toc28743 </w:instrText>
      </w:r>
      <w:r>
        <w:fldChar w:fldCharType="separate"/>
      </w:r>
      <w:r>
        <w:t xml:space="preserve">5.2 </w:t>
      </w:r>
      <w:r>
        <w:rPr>
          <w:rFonts w:hint="eastAsia"/>
        </w:rPr>
        <w:t>门窗的空气声隔声量</w:t>
      </w:r>
      <w:r>
        <w:tab/>
      </w:r>
      <w:r>
        <w:fldChar w:fldCharType="begin"/>
      </w:r>
      <w:r>
        <w:instrText xml:space="preserve"> PAGEREF _Toc28743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_Toc32605 </w:instrText>
      </w:r>
      <w:r>
        <w:fldChar w:fldCharType="separate"/>
      </w:r>
      <w:r>
        <w:t xml:space="preserve">6 </w:t>
      </w:r>
      <w:r>
        <w:rPr>
          <w:rFonts w:hint="eastAsia"/>
        </w:rPr>
        <w:t>楼板撞击声隔声性能</w:t>
      </w:r>
      <w:r>
        <w:tab/>
      </w:r>
      <w:r>
        <w:fldChar w:fldCharType="begin"/>
      </w:r>
      <w:r>
        <w:instrText xml:space="preserve"> PAGEREF _Toc32605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_Toc31400 </w:instrText>
      </w:r>
      <w:r>
        <w:fldChar w:fldCharType="separate"/>
      </w:r>
      <w:r>
        <w:rPr>
          <w:kern w:val="2"/>
        </w:rPr>
        <w:t xml:space="preserve">7 </w:t>
      </w:r>
      <w:r>
        <w:rPr>
          <w:rFonts w:hint="eastAsia"/>
          <w:kern w:val="2"/>
        </w:rPr>
        <w:t>星级技术要求</w:t>
      </w:r>
      <w:r>
        <w:tab/>
      </w:r>
      <w:r>
        <w:fldChar w:fldCharType="begin"/>
      </w:r>
      <w:r>
        <w:instrText xml:space="preserve"> PAGEREF _Toc31400 \h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_Toc4115 </w:instrText>
      </w:r>
      <w:r>
        <w:fldChar w:fldCharType="separate"/>
      </w:r>
      <w:r>
        <w:t xml:space="preserve">7.1 </w:t>
      </w:r>
      <w:r>
        <w:rPr>
          <w:rFonts w:hint="eastAsia"/>
        </w:rPr>
        <w:t>外墙-室外与卧室之间</w:t>
      </w:r>
      <w:r>
        <w:tab/>
      </w:r>
      <w:r>
        <w:fldChar w:fldCharType="begin"/>
      </w:r>
      <w:r>
        <w:instrText xml:space="preserve"> PAGEREF _Toc4115 \h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_Toc30489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_Toc30489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_Toc21665 </w:instrText>
      </w:r>
      <w:r>
        <w:fldChar w:fldCharType="separate"/>
      </w:r>
      <w:r>
        <w:t xml:space="preserve">8 </w:t>
      </w:r>
      <w:r>
        <w:rPr>
          <w:rFonts w:hint="eastAsia"/>
        </w:rPr>
        <w:t>结论</w:t>
      </w:r>
      <w:r>
        <w:tab/>
      </w:r>
      <w:r>
        <w:fldChar w:fldCharType="begin"/>
      </w:r>
      <w:r>
        <w:instrText xml:space="preserve"> PAGEREF _Toc21665 \h </w:instrText>
      </w:r>
      <w:r>
        <w:fldChar w:fldCharType="separate"/>
      </w:r>
      <w:r>
        <w:t>13</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9278"/>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rPr>
                <w:rFonts w:hint="eastAsia"/>
              </w:rPr>
              <w:t>3050</w:t>
            </w:r>
            <w:bookmarkEnd w:id="13"/>
            <w:r>
              <w:rPr>
                <w:rFonts w:hint="eastAsia"/>
              </w:rPr>
              <w:t xml:space="preserve">    地下</w:t>
            </w:r>
            <w:bookmarkStart w:id="14" w:name="地下建筑面积"/>
            <w:r>
              <w:rPr>
                <w:rFonts w:hint="eastAsia"/>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rPr>
                <w:rFonts w:hint="eastAsia"/>
              </w:rPr>
              <w:t>6</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7" w:name="地上建筑高度"/>
            <w:r>
              <w:rPr>
                <w:rFonts w:hint="eastAsia"/>
              </w:rPr>
              <w:t>17.4</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8" w:name="北向角度"/>
            <w:r>
              <w:t>113</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pPr>
      <w:bookmarkStart w:id="21" w:name="_Toc46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pPr>
      <w:bookmarkStart w:id="23" w:name="_Toc32190"/>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pPr>
              <w:spacing w:line="360" w:lineRule="exact"/>
              <w:jc w:val="center"/>
              <w:rPr>
                <w:sz w:val="21"/>
                <w:szCs w:val="21"/>
              </w:rPr>
            </w:pPr>
            <w:r>
              <w:rPr>
                <w:rFonts w:hint="eastAsia"/>
                <w:sz w:val="21"/>
                <w:szCs w:val="21"/>
              </w:rPr>
              <w:t>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pPr>
              <w:spacing w:line="360" w:lineRule="exact"/>
              <w:jc w:val="center"/>
              <w:rPr>
                <w:sz w:val="21"/>
                <w:szCs w:val="21"/>
              </w:rPr>
            </w:pPr>
            <w:r>
              <w:rPr>
                <w:rFonts w:hint="eastAsia"/>
                <w:sz w:val="21"/>
                <w:szCs w:val="21"/>
              </w:rPr>
              <w:t>空气声</w:t>
            </w:r>
          </w:p>
        </w:tc>
        <w:tc>
          <w:tcPr>
            <w:tcW w:w="2977" w:type="dxa"/>
            <w:vAlign w:val="center"/>
          </w:tcPr>
          <w:p>
            <w:pPr>
              <w:spacing w:line="360" w:lineRule="exact"/>
              <w:jc w:val="center"/>
              <w:rPr>
                <w:sz w:val="21"/>
                <w:szCs w:val="21"/>
              </w:rPr>
            </w:pPr>
            <w:r>
              <w:rPr>
                <w:rFonts w:hint="eastAsia"/>
                <w:sz w:val="21"/>
                <w:szCs w:val="21"/>
              </w:rPr>
              <w:t>室外与卧室之间</w:t>
            </w:r>
          </w:p>
        </w:tc>
        <w:tc>
          <w:tcPr>
            <w:tcW w:w="2247" w:type="dxa"/>
            <w:vAlign w:val="center"/>
          </w:tcPr>
          <w:p>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pPr>
              <w:spacing w:line="360" w:lineRule="exact"/>
              <w:jc w:val="center"/>
              <w:rPr>
                <w:sz w:val="21"/>
                <w:szCs w:val="21"/>
              </w:rPr>
            </w:pPr>
          </w:p>
        </w:tc>
        <w:tc>
          <w:tcPr>
            <w:tcW w:w="2977" w:type="dxa"/>
            <w:vAlign w:val="center"/>
          </w:tcPr>
          <w:p>
            <w:pPr>
              <w:spacing w:line="360" w:lineRule="exact"/>
              <w:jc w:val="center"/>
              <w:rPr>
                <w:sz w:val="21"/>
                <w:szCs w:val="21"/>
              </w:rPr>
            </w:pPr>
            <w:r>
              <w:rPr>
                <w:rFonts w:hint="eastAsia"/>
                <w:sz w:val="21"/>
                <w:szCs w:val="21"/>
              </w:rPr>
              <w:t>分户墙（楼板）两侧卧室之间</w:t>
            </w:r>
          </w:p>
        </w:tc>
        <w:tc>
          <w:tcPr>
            <w:tcW w:w="2247" w:type="dxa"/>
            <w:vAlign w:val="center"/>
          </w:tcPr>
          <w:p>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pPr>
              <w:spacing w:line="360" w:lineRule="exact"/>
              <w:jc w:val="center"/>
              <w:rPr>
                <w:sz w:val="21"/>
                <w:szCs w:val="21"/>
              </w:rPr>
            </w:pPr>
            <w:r>
              <w:rPr>
                <w:rFonts w:hint="eastAsia"/>
                <w:sz w:val="21"/>
                <w:szCs w:val="21"/>
              </w:rPr>
              <w:t>撞击声</w:t>
            </w:r>
          </w:p>
        </w:tc>
        <w:tc>
          <w:tcPr>
            <w:tcW w:w="2977" w:type="dxa"/>
            <w:vAlign w:val="center"/>
          </w:tcPr>
          <w:p>
            <w:pPr>
              <w:spacing w:line="360" w:lineRule="exact"/>
              <w:jc w:val="center"/>
              <w:rPr>
                <w:sz w:val="21"/>
                <w:szCs w:val="21"/>
              </w:rPr>
            </w:pPr>
            <w:r>
              <w:rPr>
                <w:rFonts w:hint="eastAsia"/>
                <w:sz w:val="21"/>
                <w:szCs w:val="21"/>
              </w:rPr>
              <w:t>卧室楼板</w:t>
            </w:r>
          </w:p>
        </w:tc>
        <w:tc>
          <w:tcPr>
            <w:tcW w:w="2247" w:type="dxa"/>
            <w:vAlign w:val="center"/>
          </w:tcPr>
          <w:p>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pPr>
      <w:bookmarkStart w:id="25" w:name="_Toc30382"/>
      <w:r>
        <w:rPr>
          <w:rFonts w:hint="eastAsia"/>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473"/>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800603"/>
      <w:bookmarkStart w:id="29" w:name="_Toc503275877"/>
      <w:bookmarkStart w:id="30" w:name="_Toc2740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7145"/>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9585"/>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3133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3"/>
        <w:ind w:firstLine="420" w:firstLineChars="200"/>
        <w:rPr>
          <w:lang w:val="en-US"/>
        </w:rPr>
      </w:pPr>
    </w:p>
    <w:p>
      <w:pPr>
        <w:pStyle w:val="2"/>
      </w:pPr>
      <w:bookmarkStart w:id="34" w:name="_Toc5553"/>
      <w:r>
        <w:rPr>
          <w:rFonts w:hint="eastAsia"/>
        </w:rPr>
        <w:t>构件空气声隔声性能</w:t>
      </w:r>
      <w:bookmarkEnd w:id="34"/>
    </w:p>
    <w:p>
      <w:pPr>
        <w:pStyle w:val="4"/>
      </w:pPr>
      <w:bookmarkStart w:id="35" w:name="_Toc1999"/>
      <w:r>
        <w:rPr>
          <w:rFonts w:hint="eastAsia"/>
        </w:rPr>
        <w:t>墙板的空气声隔声量</w:t>
      </w:r>
      <w:bookmarkEnd w:id="35"/>
    </w:p>
    <w:p>
      <w:pPr>
        <w:pStyle w:val="5"/>
      </w:pPr>
      <w:bookmarkStart w:id="36" w:name="_Toc28165"/>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碎石、卵石混凝土(ρ=2300)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restart"/>
            <w:vAlign w:val="center"/>
          </w:tcPr>
          <w:p>
            <w:pPr>
              <w:jc w:val="center"/>
              <w:rPr>
                <w:sz w:val="21"/>
                <w:szCs w:val="21"/>
              </w:rPr>
            </w:pPr>
            <w:r>
              <w:rPr>
                <w:sz w:val="21"/>
                <w:szCs w:val="21"/>
              </w:rP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56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116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卧室墙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40.4</w:t>
            </w:r>
          </w:p>
        </w:tc>
        <w:tc>
          <w:tcPr>
            <w:vAlign w:val="center"/>
          </w:tcPr>
          <w:p>
            <w:pPr>
              <w:rPr>
                <w:sz w:val="21"/>
                <w:szCs w:val="21"/>
              </w:rPr>
            </w:pPr>
            <w:r>
              <w:rPr>
                <w:sz w:val="21"/>
                <w:szCs w:val="21"/>
              </w:rPr>
              <w:t>43.7</w:t>
            </w:r>
          </w:p>
        </w:tc>
        <w:tc>
          <w:tcPr>
            <w:vAlign w:val="center"/>
          </w:tcPr>
          <w:p>
            <w:pPr>
              <w:rPr>
                <w:sz w:val="21"/>
                <w:szCs w:val="21"/>
              </w:rPr>
            </w:pPr>
            <w:r>
              <w:rPr>
                <w:sz w:val="21"/>
                <w:szCs w:val="21"/>
              </w:rPr>
              <w:t>47.0</w:t>
            </w:r>
          </w:p>
        </w:tc>
        <w:tc>
          <w:tcPr>
            <w:vAlign w:val="center"/>
          </w:tcPr>
          <w:p>
            <w:pPr>
              <w:rPr>
                <w:sz w:val="21"/>
                <w:szCs w:val="21"/>
              </w:rPr>
            </w:pPr>
            <w:r>
              <w:rPr>
                <w:sz w:val="21"/>
                <w:szCs w:val="21"/>
              </w:rPr>
              <w:t>50.3</w:t>
            </w:r>
          </w:p>
        </w:tc>
        <w:tc>
          <w:tcPr>
            <w:vAlign w:val="center"/>
          </w:tcPr>
          <w:p>
            <w:pPr>
              <w:rPr>
                <w:sz w:val="21"/>
                <w:szCs w:val="21"/>
              </w:rPr>
            </w:pPr>
            <w:r>
              <w:rPr>
                <w:sz w:val="21"/>
                <w:szCs w:val="21"/>
              </w:rP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0.3</w:t>
            </w:r>
          </w:p>
        </w:tc>
        <w:tc>
          <w:tcPr>
            <w:vAlign w:val="center"/>
          </w:tcPr>
          <w:p>
            <w:pPr>
              <w:rPr>
                <w:sz w:val="21"/>
                <w:szCs w:val="21"/>
              </w:rPr>
            </w:pPr>
            <w:r>
              <w:rPr>
                <w:sz w:val="21"/>
                <w:szCs w:val="21"/>
              </w:rPr>
              <w:t>4.0</w:t>
            </w:r>
          </w:p>
        </w:tc>
        <w:tc>
          <w:tcPr>
            <w:vAlign w:val="center"/>
          </w:tcPr>
          <w:p>
            <w:pPr>
              <w:rPr>
                <w:sz w:val="21"/>
                <w:szCs w:val="21"/>
              </w:rPr>
            </w:pPr>
            <w:r>
              <w:rPr>
                <w:sz w:val="21"/>
                <w:szCs w:val="21"/>
              </w:rPr>
              <w:t>3.7</w:t>
            </w:r>
          </w:p>
        </w:tc>
        <w:tc>
          <w:tcPr>
            <w:vAlign w:val="center"/>
          </w:tcPr>
          <w:p>
            <w:pPr>
              <w:rPr>
                <w:sz w:val="21"/>
                <w:szCs w:val="21"/>
              </w:rPr>
            </w:pPr>
            <w:r>
              <w:rPr>
                <w:sz w:val="21"/>
                <w:szCs w:val="21"/>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卧室外墙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3.3</w:t>
            </w:r>
          </w:p>
        </w:tc>
        <w:tc>
          <w:tcPr>
            <w:vAlign w:val="center"/>
          </w:tcPr>
          <w:p>
            <w:pPr>
              <w:rPr>
                <w:sz w:val="21"/>
                <w:szCs w:val="21"/>
              </w:rPr>
            </w:pPr>
            <w:r>
              <w:rPr>
                <w:sz w:val="21"/>
                <w:szCs w:val="21"/>
              </w:rPr>
              <w:t>3.0</w:t>
            </w:r>
          </w:p>
        </w:tc>
        <w:tc>
          <w:tcPr>
            <w:vAlign w:val="center"/>
          </w:tcPr>
          <w:p>
            <w:pPr>
              <w:rPr>
                <w:sz w:val="21"/>
                <w:szCs w:val="21"/>
              </w:rPr>
            </w:pPr>
            <w:r>
              <w:rPr>
                <w:sz w:val="21"/>
                <w:szCs w:val="21"/>
              </w:rP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分户墙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40.4</w:t>
            </w:r>
          </w:p>
        </w:tc>
        <w:tc>
          <w:tcPr>
            <w:vAlign w:val="center"/>
          </w:tcPr>
          <w:p>
            <w:pPr>
              <w:rPr>
                <w:sz w:val="21"/>
                <w:szCs w:val="21"/>
              </w:rPr>
            </w:pPr>
            <w:r>
              <w:rPr>
                <w:sz w:val="21"/>
                <w:szCs w:val="21"/>
              </w:rPr>
              <w:t>43.7</w:t>
            </w:r>
          </w:p>
        </w:tc>
        <w:tc>
          <w:tcPr>
            <w:vAlign w:val="center"/>
          </w:tcPr>
          <w:p>
            <w:pPr>
              <w:rPr>
                <w:sz w:val="21"/>
                <w:szCs w:val="21"/>
              </w:rPr>
            </w:pPr>
            <w:r>
              <w:rPr>
                <w:sz w:val="21"/>
                <w:szCs w:val="21"/>
              </w:rPr>
              <w:t>47.0</w:t>
            </w:r>
          </w:p>
        </w:tc>
        <w:tc>
          <w:tcPr>
            <w:vAlign w:val="center"/>
          </w:tcPr>
          <w:p>
            <w:pPr>
              <w:rPr>
                <w:sz w:val="21"/>
                <w:szCs w:val="21"/>
              </w:rPr>
            </w:pPr>
            <w:r>
              <w:rPr>
                <w:sz w:val="21"/>
                <w:szCs w:val="21"/>
              </w:rPr>
              <w:t>50.3</w:t>
            </w:r>
          </w:p>
        </w:tc>
        <w:tc>
          <w:tcPr>
            <w:vAlign w:val="center"/>
          </w:tcPr>
          <w:p>
            <w:pPr>
              <w:rPr>
                <w:sz w:val="21"/>
                <w:szCs w:val="21"/>
              </w:rPr>
            </w:pPr>
            <w:r>
              <w:rPr>
                <w:sz w:val="21"/>
                <w:szCs w:val="21"/>
              </w:rP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0.3</w:t>
            </w:r>
          </w:p>
        </w:tc>
        <w:tc>
          <w:tcPr>
            <w:vAlign w:val="center"/>
          </w:tcPr>
          <w:p>
            <w:pPr>
              <w:rPr>
                <w:sz w:val="21"/>
                <w:szCs w:val="21"/>
              </w:rPr>
            </w:pPr>
            <w:r>
              <w:rPr>
                <w:sz w:val="21"/>
                <w:szCs w:val="21"/>
              </w:rPr>
              <w:t>4.0</w:t>
            </w:r>
          </w:p>
        </w:tc>
        <w:tc>
          <w:tcPr>
            <w:vAlign w:val="center"/>
          </w:tcPr>
          <w:p>
            <w:pPr>
              <w:rPr>
                <w:sz w:val="21"/>
                <w:szCs w:val="21"/>
              </w:rPr>
            </w:pPr>
            <w:r>
              <w:rPr>
                <w:sz w:val="21"/>
                <w:szCs w:val="21"/>
              </w:rPr>
              <w:t>3.7</w:t>
            </w:r>
          </w:p>
        </w:tc>
        <w:tc>
          <w:tcPr>
            <w:vAlign w:val="center"/>
          </w:tcPr>
          <w:p>
            <w:pPr>
              <w:rPr>
                <w:sz w:val="21"/>
                <w:szCs w:val="21"/>
              </w:rPr>
            </w:pPr>
            <w:r>
              <w:rPr>
                <w:sz w:val="21"/>
                <w:szCs w:val="21"/>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起居室外墙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3.3</w:t>
            </w:r>
          </w:p>
        </w:tc>
        <w:tc>
          <w:tcPr>
            <w:vAlign w:val="center"/>
          </w:tcPr>
          <w:p>
            <w:pPr>
              <w:rPr>
                <w:sz w:val="21"/>
                <w:szCs w:val="21"/>
              </w:rPr>
            </w:pPr>
            <w:r>
              <w:rPr>
                <w:sz w:val="21"/>
                <w:szCs w:val="21"/>
              </w:rPr>
              <w:t>3.0</w:t>
            </w:r>
          </w:p>
        </w:tc>
        <w:tc>
          <w:tcPr>
            <w:vAlign w:val="center"/>
          </w:tcPr>
          <w:p>
            <w:pPr>
              <w:rPr>
                <w:sz w:val="21"/>
                <w:szCs w:val="21"/>
              </w:rPr>
            </w:pPr>
            <w:r>
              <w:rPr>
                <w:sz w:val="21"/>
                <w:szCs w:val="21"/>
              </w:rP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分户楼板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150厚加气混凝土，双面抹灰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8743"/>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户门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rFonts w:hint="eastAsia" w:eastAsia="微软雅黑"/>
                <w:sz w:val="21"/>
                <w:szCs w:val="21"/>
                <w:lang w:eastAsia="zh-CN"/>
              </w:rPr>
            </w:pPr>
            <w:r>
              <w:rPr>
                <w:sz w:val="21"/>
                <w:szCs w:val="21"/>
              </w:rPr>
              <w:t>木门</w:t>
            </w:r>
          </w:p>
          <w:p>
            <w:pPr>
              <w:rPr>
                <w:sz w:val="21"/>
                <w:szCs w:val="21"/>
              </w:rPr>
            </w:pPr>
            <w:r>
              <w:rPr>
                <w:sz w:val="21"/>
                <w:szCs w:val="21"/>
              </w:rP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住宅建筑中其他外窗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rFonts w:hint="eastAsia" w:eastAsia="微软雅黑"/>
                <w:sz w:val="21"/>
                <w:szCs w:val="21"/>
                <w:lang w:eastAsia="zh-CN"/>
              </w:rPr>
            </w:pPr>
            <w:r>
              <w:rPr>
                <w:sz w:val="21"/>
                <w:szCs w:val="21"/>
              </w:rPr>
              <w:t>双层玻璃窗</w:t>
            </w:r>
          </w:p>
          <w:p>
            <w:pPr>
              <w:rPr>
                <w:sz w:val="21"/>
                <w:szCs w:val="21"/>
              </w:rPr>
            </w:pPr>
            <w:r>
              <w:rPr>
                <w:sz w:val="21"/>
                <w:szCs w:val="21"/>
              </w:rPr>
              <w:t>6+10A+6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22.0</w:t>
            </w:r>
          </w:p>
        </w:tc>
        <w:tc>
          <w:tcPr>
            <w:vAlign w:val="center"/>
          </w:tcPr>
          <w:p>
            <w:pPr>
              <w:rPr>
                <w:sz w:val="21"/>
                <w:szCs w:val="21"/>
              </w:rPr>
            </w:pPr>
            <w:r>
              <w:rPr>
                <w:sz w:val="21"/>
                <w:szCs w:val="21"/>
              </w:rPr>
              <w:t>21.0</w:t>
            </w:r>
          </w:p>
        </w:tc>
        <w:tc>
          <w:tcPr>
            <w:vAlign w:val="center"/>
          </w:tcPr>
          <w:p>
            <w:pPr>
              <w:rPr>
                <w:sz w:val="21"/>
                <w:szCs w:val="21"/>
              </w:rPr>
            </w:pPr>
            <w:r>
              <w:rPr>
                <w:sz w:val="21"/>
                <w:szCs w:val="21"/>
              </w:rPr>
              <w:t>28.0</w:t>
            </w:r>
          </w:p>
        </w:tc>
        <w:tc>
          <w:tcPr>
            <w:vAlign w:val="center"/>
          </w:tcPr>
          <w:p>
            <w:pPr>
              <w:rPr>
                <w:sz w:val="21"/>
                <w:szCs w:val="21"/>
              </w:rPr>
            </w:pPr>
            <w:r>
              <w:rPr>
                <w:sz w:val="21"/>
                <w:szCs w:val="21"/>
              </w:rPr>
              <w:t>36.0</w:t>
            </w:r>
          </w:p>
        </w:tc>
        <w:tc>
          <w:tcPr>
            <w:vAlign w:val="center"/>
          </w:tcPr>
          <w:p>
            <w:pPr>
              <w:rPr>
                <w:sz w:val="21"/>
                <w:szCs w:val="21"/>
              </w:rPr>
            </w:pPr>
            <w:r>
              <w:rPr>
                <w:sz w:val="21"/>
                <w:szCs w:val="21"/>
              </w:rP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pStyle w:val="13"/>
        <w:ind w:firstLine="420" w:firstLineChars="0"/>
        <w:jc w:val="left"/>
        <w:rPr>
          <w:rFonts w:ascii="宋体" w:hAnsi="宋体" w:eastAsia="宋体"/>
          <w:kern w:val="0"/>
          <w:sz w:val="21"/>
          <w:szCs w:val="21"/>
        </w:rPr>
      </w:pPr>
      <w:bookmarkStart w:id="47" w:name="门窗空气声隔声量"/>
      <w:bookmarkEnd w:id="47"/>
    </w:p>
    <w:bookmarkEnd w:id="24"/>
    <w:p>
      <w:pPr>
        <w:pStyle w:val="2"/>
      </w:pPr>
      <w:bookmarkStart w:id="48" w:name="_Toc32605"/>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起居室的分户楼板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150厚加气混凝土，双面抹灰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卧室的分户楼板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150厚加气混凝土，双面抹灰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pPr>
        <w:widowControl w:val="0"/>
        <w:snapToGrid/>
        <w:jc w:val="both"/>
        <w:rPr>
          <w:rFonts w:cstheme="minorBidi"/>
          <w:kern w:val="2"/>
          <w:sz w:val="21"/>
          <w:szCs w:val="22"/>
          <w:lang w:val="en-US"/>
        </w:rPr>
      </w:pPr>
    </w:p>
    <w:p>
      <w:pPr>
        <w:pStyle w:val="2"/>
        <w:rPr>
          <w:kern w:val="2"/>
        </w:rPr>
      </w:pPr>
      <w:bookmarkStart w:id="50" w:name="_Toc31400"/>
      <w:r>
        <w:rPr>
          <w:rFonts w:hint="eastAsia"/>
          <w:kern w:val="2"/>
        </w:rPr>
        <w:t>星级技术要求</w:t>
      </w:r>
      <w:bookmarkEnd w:id="50"/>
    </w:p>
    <w:p>
      <w:pPr>
        <w:pStyle w:val="4"/>
      </w:pPr>
      <w:bookmarkStart w:id="51" w:name="_Toc4115"/>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序号</w:t>
            </w:r>
          </w:p>
        </w:tc>
        <w:tc>
          <w:tcPr>
            <w:shd w:val="clear" w:color="auto" w:fill="E6E6E6"/>
            <w:vAlign w:val="center"/>
          </w:tcPr>
          <w:p>
            <w:pPr>
              <w:jc w:val="center"/>
              <w:rPr>
                <w:sz w:val="21"/>
                <w:szCs w:val="21"/>
              </w:rPr>
            </w:pPr>
            <w:r>
              <w:rPr>
                <w:sz w:val="21"/>
                <w:szCs w:val="21"/>
              </w:rPr>
              <w:t>房间</w:t>
            </w:r>
          </w:p>
        </w:tc>
        <w:tc>
          <w:tcPr>
            <w:shd w:val="clear" w:color="auto" w:fill="E6E6E6"/>
            <w:vAlign w:val="center"/>
          </w:tcPr>
          <w:p>
            <w:pPr>
              <w:jc w:val="center"/>
              <w:rPr>
                <w:sz w:val="21"/>
                <w:szCs w:val="21"/>
              </w:rPr>
            </w:pPr>
            <w:r>
              <w:rPr>
                <w:sz w:val="21"/>
                <w:szCs w:val="21"/>
              </w:rPr>
              <w:t>构造</w:t>
            </w:r>
          </w:p>
        </w:tc>
        <w:tc>
          <w:tcPr>
            <w:shd w:val="clear" w:color="auto" w:fill="E6E6E6"/>
            <w:vAlign w:val="center"/>
          </w:tcPr>
          <w:p>
            <w:pPr>
              <w:jc w:val="center"/>
              <w:rPr>
                <w:sz w:val="21"/>
                <w:szCs w:val="21"/>
              </w:rPr>
            </w:pPr>
            <w:r>
              <w:rPr>
                <w:sz w:val="21"/>
                <w:szCs w:val="21"/>
              </w:rPr>
              <w:t>面积</w:t>
            </w:r>
          </w:p>
        </w:tc>
        <w:tc>
          <w:tcPr>
            <w:shd w:val="clear" w:color="auto" w:fill="E6E6E6"/>
            <w:vAlign w:val="center"/>
          </w:tcPr>
          <w:p>
            <w:pPr>
              <w:jc w:val="center"/>
              <w:rPr>
                <w:sz w:val="21"/>
                <w:szCs w:val="21"/>
              </w:rPr>
            </w:pPr>
            <w:r>
              <w:rPr>
                <w:sz w:val="21"/>
                <w:szCs w:val="21"/>
              </w:rPr>
              <w:t>隔声量</w:t>
            </w:r>
          </w:p>
        </w:tc>
        <w:tc>
          <w:tcPr>
            <w:shd w:val="clear" w:color="auto" w:fill="E6E6E6"/>
            <w:vAlign w:val="center"/>
          </w:tcPr>
          <w:p>
            <w:pPr>
              <w:jc w:val="center"/>
              <w:rPr>
                <w:rFonts w:hint="eastAsia" w:eastAsia="微软雅黑"/>
                <w:sz w:val="21"/>
                <w:szCs w:val="21"/>
                <w:lang w:eastAsia="zh-CN"/>
              </w:rPr>
            </w:pPr>
            <w:r>
              <w:rPr>
                <w:sz w:val="21"/>
                <w:szCs w:val="21"/>
              </w:rPr>
              <w:t>组合墙</w:t>
            </w:r>
          </w:p>
          <w:p>
            <w:pPr>
              <w:jc w:val="center"/>
              <w:rPr>
                <w:sz w:val="21"/>
                <w:szCs w:val="21"/>
              </w:rPr>
            </w:pPr>
            <w:r>
              <w:rPr>
                <w:sz w:val="21"/>
                <w:szCs w:val="21"/>
              </w:rPr>
              <w:t>隔声量</w:t>
            </w:r>
          </w:p>
        </w:tc>
        <w:tc>
          <w:tcPr>
            <w:shd w:val="clear" w:color="auto" w:fill="E6E6E6"/>
            <w:vAlign w:val="center"/>
          </w:tcPr>
          <w:p>
            <w:pPr>
              <w:jc w:val="center"/>
              <w:rPr>
                <w:sz w:val="21"/>
                <w:szCs w:val="21"/>
              </w:rPr>
            </w:pPr>
            <w:r>
              <w:rPr>
                <w:sz w:val="21"/>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1032@2</w:t>
            </w:r>
          </w:p>
        </w:tc>
        <w:tc>
          <w:tcPr>
            <w:vAlign w:val="center"/>
          </w:tcPr>
          <w:p>
            <w:pPr>
              <w:jc w:val="center"/>
              <w:rPr>
                <w:sz w:val="21"/>
                <w:szCs w:val="21"/>
              </w:rPr>
            </w:pPr>
            <w:r>
              <w:rPr>
                <w:sz w:val="21"/>
                <w:szCs w:val="21"/>
              </w:rPr>
              <w:t>卧室外墙</w:t>
            </w:r>
          </w:p>
        </w:tc>
        <w:tc>
          <w:tcPr>
            <w:vAlign w:val="center"/>
          </w:tcPr>
          <w:p>
            <w:pPr>
              <w:jc w:val="center"/>
              <w:rPr>
                <w:sz w:val="21"/>
                <w:szCs w:val="21"/>
              </w:rPr>
            </w:pPr>
            <w:r>
              <w:rPr>
                <w:sz w:val="21"/>
                <w:szCs w:val="21"/>
              </w:rPr>
              <w:t>5.5</w:t>
            </w:r>
          </w:p>
        </w:tc>
        <w:tc>
          <w:tcPr>
            <w:vAlign w:val="center"/>
          </w:tcPr>
          <w:p>
            <w:pPr>
              <w:jc w:val="center"/>
              <w:rPr>
                <w:sz w:val="21"/>
                <w:szCs w:val="21"/>
              </w:rPr>
            </w:pPr>
            <w:r>
              <w:rPr>
                <w:sz w:val="21"/>
                <w:szCs w:val="21"/>
              </w:rPr>
              <w:t>53</w:t>
            </w:r>
          </w:p>
        </w:tc>
        <w:tc>
          <w:tcPr>
            <w:vMerge w:val="restart"/>
            <w:vAlign w:val="center"/>
          </w:tcPr>
          <w:p>
            <w:pPr>
              <w:jc w:val="center"/>
              <w:rPr>
                <w:sz w:val="21"/>
                <w:szCs w:val="21"/>
              </w:rPr>
            </w:pPr>
            <w:r>
              <w:rPr>
                <w:sz w:val="21"/>
                <w:szCs w:val="21"/>
              </w:rPr>
              <w:t>32</w:t>
            </w:r>
          </w:p>
        </w:tc>
        <w:tc>
          <w:tcPr>
            <w:vMerge w:val="restart"/>
            <w:vAlign w:val="center"/>
          </w:tcPr>
          <w:p>
            <w:pPr>
              <w:jc w:val="center"/>
              <w:rPr>
                <w:sz w:val="21"/>
                <w:szCs w:val="21"/>
              </w:rPr>
            </w:pPr>
            <w:r>
              <w:rPr>
                <w:sz w:val="21"/>
                <w:szCs w:val="21"/>
              </w:rPr>
              <w:t>一星级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外窗(1719)</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2</w:t>
            </w:r>
          </w:p>
        </w:tc>
        <w:tc>
          <w:tcPr>
            <w:vMerge w:val="restart"/>
            <w:vAlign w:val="center"/>
          </w:tcPr>
          <w:p>
            <w:pPr>
              <w:jc w:val="center"/>
              <w:rPr>
                <w:sz w:val="21"/>
                <w:szCs w:val="21"/>
              </w:rPr>
            </w:pPr>
            <w:r>
              <w:rPr>
                <w:sz w:val="21"/>
                <w:szCs w:val="21"/>
              </w:rPr>
              <w:t>1003@4</w:t>
            </w:r>
          </w:p>
        </w:tc>
        <w:tc>
          <w:tcPr>
            <w:vAlign w:val="center"/>
          </w:tcPr>
          <w:p>
            <w:pPr>
              <w:jc w:val="center"/>
              <w:rPr>
                <w:sz w:val="21"/>
                <w:szCs w:val="21"/>
              </w:rPr>
            </w:pPr>
            <w:r>
              <w:rPr>
                <w:sz w:val="21"/>
                <w:szCs w:val="21"/>
              </w:rPr>
              <w:t>卧室外墙</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53</w:t>
            </w:r>
          </w:p>
        </w:tc>
        <w:tc>
          <w:tcPr>
            <w:vMerge w:val="restart"/>
            <w:vAlign w:val="center"/>
          </w:tcPr>
          <w:p>
            <w:pPr>
              <w:jc w:val="center"/>
              <w:rPr>
                <w:sz w:val="21"/>
                <w:szCs w:val="21"/>
              </w:rPr>
            </w:pPr>
            <w:r>
              <w:rPr>
                <w:sz w:val="21"/>
                <w:szCs w:val="21"/>
              </w:rPr>
              <w:t>32</w:t>
            </w:r>
          </w:p>
        </w:tc>
        <w:tc>
          <w:tcPr>
            <w:vMerge w:val="restart"/>
            <w:vAlign w:val="center"/>
          </w:tcPr>
          <w:p>
            <w:pPr>
              <w:jc w:val="center"/>
              <w:rPr>
                <w:sz w:val="21"/>
                <w:szCs w:val="21"/>
              </w:rPr>
            </w:pPr>
            <w:r>
              <w:rPr>
                <w:sz w:val="21"/>
                <w:szCs w:val="21"/>
              </w:rPr>
              <w:t>一星级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外窗(2119)</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3</w:t>
            </w:r>
          </w:p>
        </w:tc>
        <w:tc>
          <w:tcPr>
            <w:vMerge w:val="restart"/>
            <w:vAlign w:val="center"/>
          </w:tcPr>
          <w:p>
            <w:pPr>
              <w:jc w:val="center"/>
              <w:rPr>
                <w:sz w:val="21"/>
                <w:szCs w:val="21"/>
              </w:rPr>
            </w:pPr>
            <w:r>
              <w:rPr>
                <w:sz w:val="21"/>
                <w:szCs w:val="21"/>
              </w:rPr>
              <w:t>1006@1</w:t>
            </w:r>
          </w:p>
        </w:tc>
        <w:tc>
          <w:tcPr>
            <w:vAlign w:val="center"/>
          </w:tcPr>
          <w:p>
            <w:pPr>
              <w:jc w:val="center"/>
              <w:rPr>
                <w:sz w:val="21"/>
                <w:szCs w:val="21"/>
              </w:rPr>
            </w:pPr>
            <w:r>
              <w:rPr>
                <w:sz w:val="21"/>
                <w:szCs w:val="21"/>
              </w:rPr>
              <w:t>卧室外墙</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53</w:t>
            </w:r>
          </w:p>
        </w:tc>
        <w:tc>
          <w:tcPr>
            <w:vMerge w:val="restart"/>
            <w:vAlign w:val="center"/>
          </w:tcPr>
          <w:p>
            <w:pPr>
              <w:jc w:val="center"/>
              <w:rPr>
                <w:sz w:val="21"/>
                <w:szCs w:val="21"/>
              </w:rPr>
            </w:pPr>
            <w:r>
              <w:rPr>
                <w:sz w:val="21"/>
                <w:szCs w:val="21"/>
              </w:rPr>
              <w:t>33</w:t>
            </w:r>
          </w:p>
        </w:tc>
        <w:tc>
          <w:tcPr>
            <w:vMerge w:val="restart"/>
            <w:vAlign w:val="center"/>
          </w:tcPr>
          <w:p>
            <w:pPr>
              <w:jc w:val="center"/>
              <w:rPr>
                <w:sz w:val="21"/>
                <w:szCs w:val="21"/>
              </w:rPr>
            </w:pPr>
            <w:r>
              <w:rPr>
                <w:sz w:val="21"/>
                <w:szCs w:val="21"/>
              </w:rPr>
              <w:t>一星级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外窗(1819)</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c>
          <w:tcPr>
            <w:vMerge w:val="continue"/>
            <w:vAlign w:val="center"/>
          </w:tcPr>
          <w:p>
            <w:pPr>
              <w:jc w:val="center"/>
              <w:rPr>
                <w:sz w:val="21"/>
                <w:szCs w:val="21"/>
              </w:rPr>
            </w:pPr>
          </w:p>
        </w:tc>
      </w:tr>
    </w:tbl>
    <w:p>
      <w:pPr>
        <w:pStyle w:val="3"/>
        <w:jc w:val="center"/>
        <w:rPr>
          <w:lang w:val="en-US"/>
        </w:rPr>
      </w:pPr>
      <w:bookmarkStart w:id="52" w:name="组合墙星级评价表"/>
      <w:bookmarkEnd w:id="52"/>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3" w:name="_Toc30489"/>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6"/>
        <w:gridCol w:w="2546"/>
        <w:gridCol w:w="4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隔声量</w:t>
            </w:r>
          </w:p>
        </w:tc>
        <w:tc>
          <w:tcPr>
            <w:shd w:val="clear" w:color="auto" w:fill="E6E6E6"/>
            <w:vAlign w:val="center"/>
          </w:tcPr>
          <w:p>
            <w:pPr>
              <w:jc w:val="center"/>
              <w:rPr>
                <w:sz w:val="21"/>
                <w:szCs w:val="21"/>
              </w:rPr>
            </w:pPr>
            <w:r>
              <w:rPr>
                <w:sz w:val="21"/>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分户墙</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三星级</w:t>
            </w:r>
          </w:p>
        </w:tc>
      </w:tr>
    </w:tbl>
    <w:p>
      <w:pPr>
        <w:pStyle w:val="3"/>
        <w:ind w:firstLine="420"/>
        <w:jc w:val="center"/>
        <w:rPr>
          <w:lang w:val="en-US"/>
        </w:rPr>
      </w:pPr>
      <w:bookmarkStart w:id="54" w:name="分户墙星级评价表"/>
      <w:bookmarkEnd w:id="54"/>
    </w:p>
    <w:p>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pPr>
        <w:pStyle w:val="2"/>
      </w:pPr>
      <w:bookmarkStart w:id="55" w:name="_Toc21665"/>
      <w:r>
        <w:rPr>
          <w:rFonts w:hint="eastAsia"/>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卧室墙</w:t>
            </w:r>
          </w:p>
        </w:tc>
        <w:tc>
          <w:tcPr>
            <w:vAlign w:val="center"/>
          </w:tcPr>
          <w:p>
            <w:pPr>
              <w:rPr>
                <w:sz w:val="21"/>
                <w:szCs w:val="21"/>
              </w:rPr>
            </w:pPr>
            <w:r>
              <w:rPr>
                <w:b/>
                <w:sz w:val="21"/>
                <w:szCs w:val="21"/>
              </w:rPr>
              <w:t>50</w:t>
            </w:r>
          </w:p>
        </w:tc>
        <w:tc>
          <w:tcPr>
            <w:vAlign w:val="center"/>
          </w:tcPr>
          <w:p>
            <w:pPr>
              <w:rPr>
                <w:sz w:val="21"/>
                <w:szCs w:val="21"/>
              </w:rPr>
            </w:pPr>
            <w:r>
              <w:rPr>
                <w:sz w:val="21"/>
                <w:szCs w:val="21"/>
              </w:rPr>
              <w:t>低限:≥35</w:t>
            </w:r>
          </w:p>
        </w:tc>
        <w:tc>
          <w:tcPr>
            <w:vAlign w:val="center"/>
          </w:tcPr>
          <w:p>
            <w:pPr>
              <w:rPr>
                <w:sz w:val="21"/>
                <w:szCs w:val="21"/>
              </w:rPr>
            </w:pPr>
            <w:r>
              <w:rPr>
                <w:b/>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卧室外墙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分户墙</w:t>
            </w:r>
          </w:p>
        </w:tc>
        <w:tc>
          <w:tcPr>
            <w:vAlign w:val="center"/>
          </w:tcPr>
          <w:p>
            <w:pPr>
              <w:rPr>
                <w:sz w:val="21"/>
                <w:szCs w:val="21"/>
              </w:rPr>
            </w:pPr>
            <w:r>
              <w:rPr>
                <w:b/>
                <w:sz w:val="21"/>
                <w:szCs w:val="21"/>
              </w:rPr>
              <w:t>50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起居室外墙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分户楼板</w:t>
            </w:r>
          </w:p>
        </w:tc>
        <w:tc>
          <w:tcPr>
            <w:vAlign w:val="center"/>
          </w:tcPr>
          <w:p>
            <w:pPr>
              <w:rPr>
                <w:sz w:val="21"/>
                <w:szCs w:val="21"/>
              </w:rPr>
            </w:pPr>
            <w:r>
              <w:rPr>
                <w:b/>
                <w:color w:val="FF0000"/>
                <w:sz w:val="21"/>
                <w:szCs w:val="21"/>
              </w:rPr>
              <w:t>43</w:t>
            </w:r>
          </w:p>
        </w:tc>
        <w:tc>
          <w:tcPr>
            <w:vAlign w:val="center"/>
          </w:tcPr>
          <w:p>
            <w:pPr>
              <w:rPr>
                <w:sz w:val="21"/>
                <w:szCs w:val="21"/>
              </w:rPr>
            </w:pPr>
            <w:r>
              <w:rPr>
                <w:sz w:val="21"/>
                <w:szCs w:val="21"/>
              </w:rPr>
              <w:t>低限:&gt;45,高要求:&gt;50</w:t>
            </w:r>
          </w:p>
        </w:tc>
        <w:tc>
          <w:tcPr>
            <w:vAlign w:val="center"/>
          </w:tcPr>
          <w:p>
            <w:pPr>
              <w:rPr>
                <w:sz w:val="21"/>
                <w:szCs w:val="21"/>
              </w:rPr>
            </w:pPr>
            <w:r>
              <w:rPr>
                <w:b/>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户门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住宅建筑中其他外窗</w:t>
            </w:r>
          </w:p>
        </w:tc>
        <w:tc>
          <w:tcPr>
            <w:vAlign w:val="center"/>
          </w:tcPr>
          <w:p>
            <w:pPr>
              <w:rPr>
                <w:sz w:val="21"/>
                <w:szCs w:val="21"/>
              </w:rPr>
            </w:pPr>
            <w:r>
              <w:rPr>
                <w:b/>
                <w:sz w:val="21"/>
                <w:szCs w:val="21"/>
              </w:rPr>
              <w:t>28</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满足平均要求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起居室的分户楼板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卧室的分户楼板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rPr>
                <w:sz w:val="21"/>
                <w:szCs w:val="21"/>
              </w:rPr>
            </w:pPr>
            <w:r>
              <w:rPr>
                <w:sz w:val="21"/>
                <w:szCs w:val="21"/>
              </w:rPr>
              <w:t>构件</w:t>
            </w:r>
          </w:p>
        </w:tc>
        <w:tc>
          <w:tcPr>
            <w:tcW w:w="2547" w:type="dxa"/>
            <w:shd w:val="clear" w:color="auto" w:fill="E6E6E6"/>
          </w:tcPr>
          <w:p>
            <w:pPr>
              <w:jc w:val="center"/>
              <w:rPr>
                <w:sz w:val="21"/>
                <w:szCs w:val="21"/>
              </w:rPr>
            </w:pPr>
            <w:r>
              <w:rPr>
                <w:sz w:val="21"/>
                <w:szCs w:val="21"/>
              </w:rPr>
              <w:t>单值评价量+频谱修正量</w:t>
            </w:r>
          </w:p>
        </w:tc>
        <w:tc>
          <w:tcPr>
            <w:tcW w:w="2689" w:type="dxa"/>
            <w:shd w:val="clear" w:color="auto" w:fill="E6E6E6"/>
            <w:vAlign w:val="center"/>
          </w:tcPr>
          <w:p>
            <w:pPr>
              <w:jc w:val="center"/>
              <w:rPr>
                <w:sz w:val="21"/>
                <w:szCs w:val="21"/>
              </w:rPr>
            </w:pPr>
            <w:r>
              <w:rPr>
                <w:sz w:val="21"/>
                <w:szCs w:val="21"/>
              </w:rPr>
              <w:t>标准限值</w:t>
            </w:r>
          </w:p>
        </w:tc>
        <w:tc>
          <w:tcPr>
            <w:tcW w:w="1709" w:type="dxa"/>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rPr>
                <w:sz w:val="21"/>
                <w:szCs w:val="21"/>
              </w:rPr>
            </w:pPr>
            <w:r>
              <w:rPr>
                <w:rFonts w:hint="eastAsia"/>
                <w:sz w:val="21"/>
                <w:szCs w:val="21"/>
              </w:rPr>
              <w:t>室外与卧室之间</w:t>
            </w:r>
          </w:p>
        </w:tc>
        <w:tc>
          <w:tcPr>
            <w:tcW w:w="2547" w:type="dxa"/>
            <w:vAlign w:val="center"/>
          </w:tcPr>
          <w:p>
            <w:pPr>
              <w:rPr>
                <w:b/>
                <w:sz w:val="21"/>
                <w:szCs w:val="21"/>
              </w:rPr>
            </w:pPr>
            <w:bookmarkStart w:id="58" w:name="组合墙星级评价隔声量"/>
            <w:r>
              <w:rPr>
                <w:b/>
                <w:sz w:val="21"/>
                <w:szCs w:val="21"/>
              </w:rPr>
              <w:t>32</w:t>
            </w:r>
            <w:bookmarkEnd w:id="58"/>
          </w:p>
        </w:tc>
        <w:tc>
          <w:tcPr>
            <w:tcW w:w="2689" w:type="dxa"/>
            <w:vAlign w:val="center"/>
          </w:tcPr>
          <w:p>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pPr>
              <w:jc w:val="center"/>
              <w:rPr>
                <w:b/>
                <w:sz w:val="21"/>
                <w:szCs w:val="21"/>
                <w:highlight w:val="yellow"/>
                <w:lang w:val="en-US"/>
              </w:rPr>
            </w:pPr>
            <w:bookmarkStart w:id="59" w:name="组合墙星级评价结论"/>
            <w:r>
              <w:rPr>
                <w:b/>
                <w:sz w:val="21"/>
                <w:szCs w:val="21"/>
              </w:rPr>
              <w:t>一星级</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rPr>
                <w:sz w:val="21"/>
                <w:szCs w:val="21"/>
              </w:rPr>
            </w:pPr>
            <w:r>
              <w:rPr>
                <w:rFonts w:hint="eastAsia"/>
                <w:sz w:val="21"/>
                <w:szCs w:val="21"/>
              </w:rPr>
              <w:t>分户墙两侧卧室之间</w:t>
            </w:r>
          </w:p>
        </w:tc>
        <w:tc>
          <w:tcPr>
            <w:tcW w:w="2547" w:type="dxa"/>
            <w:vAlign w:val="center"/>
          </w:tcPr>
          <w:p>
            <w:pPr>
              <w:rPr>
                <w:b/>
                <w:sz w:val="21"/>
                <w:szCs w:val="21"/>
              </w:rPr>
            </w:pPr>
            <w:bookmarkStart w:id="60" w:name="分户墙星级评价隔声量"/>
            <w:r>
              <w:rPr>
                <w:b/>
                <w:sz w:val="21"/>
                <w:szCs w:val="21"/>
              </w:rPr>
              <w:t>50</w:t>
            </w:r>
            <w:bookmarkEnd w:id="60"/>
          </w:p>
        </w:tc>
        <w:tc>
          <w:tcPr>
            <w:tcW w:w="2689" w:type="dxa"/>
            <w:vAlign w:val="center"/>
          </w:tcPr>
          <w:p>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pPr>
              <w:jc w:val="center"/>
              <w:rPr>
                <w:b/>
                <w:sz w:val="21"/>
                <w:szCs w:val="21"/>
                <w:highlight w:val="yellow"/>
                <w:lang w:val="en-US"/>
              </w:rPr>
            </w:pPr>
            <w:bookmarkStart w:id="61" w:name="分户墙星级评价结论"/>
            <w:r>
              <w:rPr>
                <w:b/>
                <w:sz w:val="21"/>
                <w:szCs w:val="21"/>
              </w:rPr>
              <w:t>三星级</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rPr>
                <w:sz w:val="21"/>
                <w:szCs w:val="21"/>
              </w:rPr>
            </w:pPr>
            <w:r>
              <w:rPr>
                <w:sz w:val="21"/>
                <w:szCs w:val="21"/>
              </w:rPr>
              <w:t>构件</w:t>
            </w:r>
          </w:p>
        </w:tc>
        <w:tc>
          <w:tcPr>
            <w:tcW w:w="2547" w:type="dxa"/>
            <w:shd w:val="clear" w:color="auto" w:fill="E7E6E6" w:themeFill="background2"/>
          </w:tcPr>
          <w:p>
            <w:pPr>
              <w:jc w:val="center"/>
              <w:rPr>
                <w:b/>
                <w:sz w:val="21"/>
                <w:szCs w:val="21"/>
              </w:rPr>
            </w:pPr>
            <w:r>
              <w:rPr>
                <w:sz w:val="21"/>
                <w:szCs w:val="21"/>
              </w:rPr>
              <w:t>计权规范化撞击声压级</w:t>
            </w:r>
          </w:p>
        </w:tc>
        <w:tc>
          <w:tcPr>
            <w:tcW w:w="2689" w:type="dxa"/>
            <w:shd w:val="clear" w:color="auto" w:fill="E7E6E6" w:themeFill="background2"/>
            <w:vAlign w:val="center"/>
          </w:tcPr>
          <w:p>
            <w:pPr>
              <w:jc w:val="center"/>
              <w:rPr>
                <w:sz w:val="21"/>
                <w:szCs w:val="21"/>
              </w:rPr>
            </w:pPr>
            <w:r>
              <w:rPr>
                <w:sz w:val="21"/>
                <w:szCs w:val="21"/>
              </w:rPr>
              <w:t>标准限值</w:t>
            </w:r>
          </w:p>
        </w:tc>
        <w:tc>
          <w:tcPr>
            <w:tcW w:w="1709" w:type="dxa"/>
            <w:shd w:val="clear" w:color="auto" w:fill="E7E6E6" w:themeFill="background2"/>
            <w:vAlign w:val="center"/>
          </w:tcPr>
          <w:p>
            <w:pPr>
              <w:jc w:val="center"/>
              <w:rPr>
                <w:kern w:val="2"/>
                <w:sz w:val="21"/>
                <w:szCs w:val="21"/>
                <w:highlight w:val="yellow"/>
                <w:lang w:val="en-US"/>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rPr>
                <w:sz w:val="21"/>
                <w:szCs w:val="21"/>
              </w:rPr>
            </w:pPr>
            <w:r>
              <w:rPr>
                <w:sz w:val="21"/>
                <w:szCs w:val="21"/>
              </w:rPr>
              <w:t>卧室的分户楼板</w:t>
            </w:r>
          </w:p>
        </w:tc>
        <w:tc>
          <w:tcPr>
            <w:tcW w:w="2547" w:type="dxa"/>
            <w:vAlign w:val="center"/>
          </w:tcPr>
          <w:p>
            <w:pPr>
              <w:rPr>
                <w:b/>
                <w:sz w:val="21"/>
                <w:szCs w:val="21"/>
              </w:rPr>
            </w:pPr>
            <w:bookmarkStart w:id="62" w:name="分户楼板星级评价撞击声压级"/>
            <w:r>
              <w:rPr>
                <w:b/>
                <w:sz w:val="21"/>
                <w:szCs w:val="21"/>
              </w:rPr>
              <w:t>55</w:t>
            </w:r>
            <w:bookmarkEnd w:id="62"/>
          </w:p>
        </w:tc>
        <w:tc>
          <w:tcPr>
            <w:tcW w:w="2689" w:type="dxa"/>
            <w:vAlign w:val="center"/>
          </w:tcPr>
          <w:p>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pPr>
              <w:jc w:val="center"/>
              <w:rPr>
                <w:b/>
                <w:sz w:val="21"/>
                <w:szCs w:val="21"/>
                <w:highlight w:val="yellow"/>
                <w:lang w:val="en-US"/>
              </w:rPr>
            </w:pPr>
            <w:bookmarkStart w:id="63" w:name="分户楼板星级评价结论"/>
            <w:r>
              <w:rPr>
                <w:b/>
                <w:sz w:val="21"/>
                <w:szCs w:val="21"/>
              </w:rPr>
              <w:t>三星级</w:t>
            </w:r>
            <w:bookmarkEnd w:id="63"/>
          </w:p>
        </w:tc>
      </w:tr>
    </w:tbl>
    <w:p>
      <w:pPr>
        <w:pStyle w:val="3"/>
        <w:spacing w:before="240"/>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sz w:val="21"/>
                <w:szCs w:val="21"/>
              </w:rPr>
            </w:pPr>
            <w:r>
              <w:rPr>
                <w:bCs/>
                <w:sz w:val="21"/>
                <w:szCs w:val="21"/>
              </w:rPr>
              <w:t>检查项</w:t>
            </w:r>
          </w:p>
        </w:tc>
        <w:tc>
          <w:tcPr>
            <w:tcW w:w="5812" w:type="dxa"/>
            <w:shd w:val="clear" w:color="auto" w:fill="E6E6E6"/>
          </w:tcPr>
          <w:p>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pPr>
              <w:contextualSpacing/>
              <w:jc w:val="center"/>
              <w:rPr>
                <w:bCs/>
                <w:sz w:val="21"/>
                <w:szCs w:val="21"/>
              </w:rPr>
            </w:pPr>
            <w:r>
              <w:rPr>
                <w:bCs/>
                <w:sz w:val="21"/>
                <w:szCs w:val="21"/>
              </w:rPr>
              <w:t>结论</w:t>
            </w:r>
          </w:p>
        </w:tc>
        <w:tc>
          <w:tcPr>
            <w:tcW w:w="737" w:type="dxa"/>
            <w:shd w:val="clear" w:color="auto" w:fill="E6E6E6"/>
            <w:vAlign w:val="center"/>
          </w:tcPr>
          <w:p>
            <w:pPr>
              <w:contextualSpacing/>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pPr>
            <w:r>
              <w:rPr>
                <w:rFonts w:hint="eastAsia"/>
              </w:rPr>
              <w:t>空气声</w:t>
            </w:r>
          </w:p>
          <w:p>
            <w:pPr>
              <w:pStyle w:val="3"/>
              <w:jc w:val="center"/>
            </w:pPr>
            <w:r>
              <w:rPr>
                <w:rFonts w:hint="eastAsia"/>
              </w:rPr>
              <w:t>隔声</w:t>
            </w:r>
          </w:p>
        </w:tc>
        <w:tc>
          <w:tcPr>
            <w:tcW w:w="5812"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pPr>
              <w:jc w:val="center"/>
              <w:rPr>
                <w:b/>
                <w:sz w:val="21"/>
                <w:szCs w:val="21"/>
                <w:lang w:val="en-US"/>
              </w:rPr>
            </w:pPr>
            <w:bookmarkStart w:id="64" w:name="空气声控制项结论"/>
            <w:r>
              <w:rPr>
                <w:rFonts w:hint="eastAsia"/>
                <w:b/>
                <w:color w:val="FF0000"/>
                <w:sz w:val="21"/>
                <w:szCs w:val="21"/>
                <w:lang w:val="en-US"/>
              </w:rPr>
              <w:t>不满足</w:t>
            </w:r>
            <w:bookmarkEnd w:id="64"/>
          </w:p>
        </w:tc>
        <w:tc>
          <w:tcPr>
            <w:tcW w:w="737" w:type="dxa"/>
            <w:vAlign w:val="center"/>
          </w:tcPr>
          <w:p>
            <w:pPr>
              <w:jc w:val="center"/>
              <w:rPr>
                <w:b/>
                <w:sz w:val="21"/>
                <w:szCs w:val="21"/>
                <w:lang w:val="en-US"/>
              </w:rPr>
            </w:pPr>
            <w:r>
              <w:rPr>
                <w:b/>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pPr>
          </w:p>
        </w:tc>
        <w:tc>
          <w:tcPr>
            <w:tcW w:w="5812"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pPr>
              <w:jc w:val="center"/>
              <w:rPr>
                <w:b/>
                <w:sz w:val="21"/>
                <w:szCs w:val="21"/>
                <w:lang w:val="en-US"/>
              </w:rPr>
            </w:pPr>
            <w:bookmarkStart w:id="65" w:name="空气声评分项结论"/>
            <w:r>
              <w:rPr>
                <w:rFonts w:hint="eastAsia"/>
                <w:b/>
                <w:color w:val="FF0000"/>
                <w:sz w:val="21"/>
                <w:szCs w:val="21"/>
                <w:lang w:val="en-US"/>
              </w:rPr>
              <w:t>不满足</w:t>
            </w:r>
            <w:bookmarkEnd w:id="65"/>
          </w:p>
        </w:tc>
        <w:tc>
          <w:tcPr>
            <w:tcW w:w="737" w:type="dxa"/>
            <w:vAlign w:val="center"/>
          </w:tcPr>
          <w:p>
            <w:pPr>
              <w:jc w:val="center"/>
              <w:rPr>
                <w:b/>
                <w:sz w:val="21"/>
                <w:szCs w:val="21"/>
                <w:lang w:val="en-US"/>
              </w:rPr>
            </w:pPr>
            <w:bookmarkStart w:id="66" w:name="空气声得分"/>
            <w:r>
              <w:rPr>
                <w:rFonts w:hint="eastAsia"/>
                <w:b/>
                <w:sz w:val="21"/>
                <w:szCs w:val="21"/>
                <w:lang w:val="en-US"/>
              </w:rPr>
              <w:t>0</w:t>
            </w:r>
            <w:bookmarkEnd w:id="66"/>
            <w:r>
              <w:rPr>
                <w:rFonts w:hint="eastAsia"/>
                <w:b/>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pPr>
            <w:r>
              <w:rPr>
                <w:rFonts w:hint="eastAsia"/>
              </w:rPr>
              <w:t>撞击声</w:t>
            </w:r>
          </w:p>
          <w:p>
            <w:pPr>
              <w:pStyle w:val="3"/>
              <w:jc w:val="center"/>
            </w:pPr>
            <w:r>
              <w:rPr>
                <w:rFonts w:hint="eastAsia"/>
              </w:rPr>
              <w:t>隔声</w:t>
            </w:r>
          </w:p>
        </w:tc>
        <w:tc>
          <w:tcPr>
            <w:tcW w:w="5812"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pPr>
              <w:jc w:val="center"/>
              <w:rPr>
                <w:b/>
                <w:sz w:val="21"/>
                <w:szCs w:val="21"/>
                <w:lang w:val="en-US"/>
              </w:rPr>
            </w:pPr>
            <w:r>
              <w:rPr>
                <w:rFonts w:hint="eastAsia"/>
                <w:b/>
                <w:sz w:val="21"/>
                <w:szCs w:val="21"/>
                <w:lang w:val="en-US"/>
              </w:rPr>
              <w:t>-</w:t>
            </w:r>
            <w:r>
              <w:rPr>
                <w:b/>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pPr>
          </w:p>
        </w:tc>
        <w:tc>
          <w:tcPr>
            <w:tcW w:w="5812"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pPr>
            <w:r>
              <w:rPr>
                <w:rFonts w:hint="eastAsia"/>
              </w:rPr>
              <w:t>住宅建筑</w:t>
            </w:r>
          </w:p>
          <w:p>
            <w:pPr>
              <w:pStyle w:val="3"/>
              <w:jc w:val="center"/>
            </w:pPr>
            <w:r>
              <w:rPr>
                <w:rFonts w:hint="eastAsia"/>
              </w:rPr>
              <w:t>隔声性能</w:t>
            </w:r>
          </w:p>
        </w:tc>
        <w:tc>
          <w:tcPr>
            <w:tcW w:w="5812" w:type="dxa"/>
          </w:tcPr>
          <w:p>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pPr>
              <w:jc w:val="center"/>
              <w:rPr>
                <w:b/>
                <w:sz w:val="21"/>
                <w:szCs w:val="21"/>
                <w:lang w:val="en-US"/>
              </w:rPr>
            </w:pPr>
            <w:bookmarkStart w:id="70" w:name="星级评价总结论"/>
            <w:r>
              <w:rPr>
                <w:rFonts w:hint="eastAsia"/>
                <w:b/>
                <w:sz w:val="21"/>
                <w:szCs w:val="21"/>
                <w:lang w:val="en-US"/>
              </w:rPr>
              <w:t>一星级</w:t>
            </w:r>
            <w:bookmarkEnd w:id="70"/>
          </w:p>
        </w:tc>
        <w:tc>
          <w:tcPr>
            <w:tcW w:w="737" w:type="dxa"/>
            <w:vAlign w:val="center"/>
          </w:tcPr>
          <w:p>
            <w:pPr>
              <w:jc w:val="center"/>
              <w:rPr>
                <w:b/>
                <w:sz w:val="21"/>
                <w:szCs w:val="21"/>
                <w:lang w:val="en-US"/>
              </w:rPr>
            </w:pPr>
            <w:r>
              <w:rPr>
                <w:rFonts w:hint="eastAsia"/>
                <w:b/>
                <w:sz w:val="21"/>
                <w:szCs w:val="21"/>
                <w:lang w:val="en-US"/>
              </w:rPr>
              <w:t>-</w:t>
            </w:r>
            <w:r>
              <w:rPr>
                <w:b/>
                <w:sz w:val="21"/>
                <w:szCs w:val="21"/>
                <w:lang w:val="en-US"/>
              </w:rPr>
              <w:t>-</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MjY3N2RhOTc5YjViZGUxZWVhZDNhMDI1ZDU4MjkifQ=="/>
  </w:docVars>
  <w:rsids>
    <w:rsidRoot w:val="16971FAF"/>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697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autoRedefine/>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tmp28.dotx</Template>
  <Pages>16</Pages>
  <Words>6467</Words>
  <Characters>8149</Characters>
  <Lines>58</Lines>
  <Paragraphs>16</Paragraphs>
  <TotalTime>0</TotalTime>
  <ScaleCrop>false</ScaleCrop>
  <LinksUpToDate>false</LinksUpToDate>
  <CharactersWithSpaces>8809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2024-04-19T04:19:00Z</dcterms:created>
  <dc:creator>Administrator</dc:creator>
  <cp:lastModifiedBy>Administrator</cp:lastModifiedBy>
  <dcterms:modified xsi:type="dcterms:W3CDTF">2024-04-19T04:19:59Z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03E8F5057BB541E5921C46100FC7FE1D_11</vt:lpwstr>
  </property>
  <property fmtid="{D5CDD505-2E9C-101B-9397-08002B2CF9AE}" pid="3" name="KSOProductBuildVer">
    <vt:lpwstr>2052-12.1.0.16729</vt:lpwstr>
  </property>
</Properties>
</file>