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113" w:afterLines="113" w:line="113" w:lineRule="auto"/>
        <w:jc w:val="left"/>
      </w:pPr>
    </w:p>
    <w:p>
      <w:pPr>
        <w:pStyle w:val="55"/>
        <w:spacing w:line="1000" w:lineRule="exact"/>
        <w:jc w:val="center"/>
        <w:rPr>
          <w:rFonts w:hint="eastAsia" w:ascii="华文中宋" w:hAnsi="华文中宋" w:eastAsia="华文中宋"/>
          <w:color w:val="000000"/>
          <w:spacing w:val="20"/>
          <w:sz w:val="48"/>
          <w:szCs w:val="48"/>
        </w:rPr>
      </w:pPr>
      <w:bookmarkStart w:id="0" w:name="_Hlk37404119"/>
      <w:bookmarkStart w:id="1" w:name="_Hlk52265333"/>
      <w:r>
        <w:rPr>
          <w:rFonts w:hint="eastAsia" w:ascii="华文中宋" w:hAnsi="华文中宋" w:eastAsia="华文中宋"/>
          <w:color w:val="000000"/>
          <w:spacing w:val="20"/>
          <w:sz w:val="48"/>
          <w:szCs w:val="48"/>
        </w:rPr>
        <w:t>国能朔黄铁路发展有限责任公司</w:t>
      </w:r>
    </w:p>
    <w:p>
      <w:pPr>
        <w:pStyle w:val="55"/>
        <w:spacing w:line="1000" w:lineRule="exact"/>
        <w:jc w:val="center"/>
        <w:rPr>
          <w:rFonts w:hint="eastAsia" w:ascii="华文中宋" w:hAnsi="华文中宋" w:eastAsia="华文中宋"/>
          <w:color w:val="000000"/>
          <w:spacing w:val="20"/>
          <w:sz w:val="48"/>
          <w:szCs w:val="48"/>
        </w:rPr>
      </w:pPr>
      <w:r>
        <w:rPr>
          <w:rFonts w:hint="eastAsia" w:ascii="华文中宋" w:hAnsi="华文中宋" w:eastAsia="华文中宋"/>
          <w:color w:val="000000"/>
          <w:spacing w:val="20"/>
          <w:sz w:val="48"/>
          <w:szCs w:val="48"/>
        </w:rPr>
        <w:t>大型机械保障基地建设项目</w:t>
      </w:r>
    </w:p>
    <w:p>
      <w:pPr>
        <w:pStyle w:val="55"/>
        <w:spacing w:line="1000" w:lineRule="exact"/>
        <w:jc w:val="center"/>
        <w:rPr>
          <w:rFonts w:ascii="黑体" w:hAnsi="华文中宋"/>
          <w:b/>
          <w:szCs w:val="84"/>
        </w:rPr>
      </w:pPr>
      <w:r>
        <w:rPr>
          <w:rFonts w:hint="eastAsia" w:ascii="黑体" w:hAnsi="华文中宋"/>
          <w:b/>
          <w:szCs w:val="84"/>
        </w:rPr>
        <w:t xml:space="preserve"> </w:t>
      </w:r>
      <w:r>
        <w:rPr>
          <w:rFonts w:hint="eastAsia" w:ascii="黑体" w:hAnsi="宋体"/>
          <w:b/>
          <w:bCs/>
          <w:sz w:val="72"/>
          <w:szCs w:val="72"/>
          <w:lang w:val="en-US" w:eastAsia="zh-CN"/>
        </w:rPr>
        <w:t>结构计算</w:t>
      </w:r>
      <w:r>
        <w:rPr>
          <w:rFonts w:hint="eastAsia" w:ascii="黑体" w:hAnsi="宋体"/>
          <w:b/>
          <w:bCs/>
          <w:sz w:val="72"/>
          <w:szCs w:val="72"/>
        </w:rPr>
        <w:t>书</w:t>
      </w:r>
    </w:p>
    <w:bookmarkEnd w:id="0"/>
    <w:p>
      <w:pPr>
        <w:pStyle w:val="55"/>
        <w:ind w:firstLine="480"/>
        <w:jc w:val="left"/>
        <w:rPr>
          <w:rFonts w:ascii="黑体" w:hAnsi="黑体"/>
          <w:sz w:val="72"/>
          <w:szCs w:val="72"/>
        </w:rPr>
      </w:pPr>
      <w:r>
        <w:rPr>
          <w:rFonts w:ascii="黑体" w:hAnsi="黑体"/>
          <w:sz w:val="72"/>
          <w:szCs w:val="72"/>
        </w:rPr>
        <w:t xml:space="preserve">           </w:t>
      </w:r>
    </w:p>
    <w:p>
      <w:pPr>
        <w:pStyle w:val="55"/>
        <w:jc w:val="center"/>
        <w:rPr>
          <w:rFonts w:ascii="Calibri" w:hAnsi="Calibri"/>
          <w:sz w:val="15"/>
          <w:szCs w:val="15"/>
        </w:rPr>
      </w:pPr>
    </w:p>
    <w:p>
      <w:pPr>
        <w:pStyle w:val="55"/>
        <w:jc w:val="center"/>
        <w:rPr>
          <w:rFonts w:ascii="Calibri" w:hAnsi="Calibri"/>
          <w:sz w:val="30"/>
          <w:szCs w:val="30"/>
        </w:rPr>
      </w:pPr>
    </w:p>
    <w:p>
      <w:pPr>
        <w:pStyle w:val="56"/>
        <w:spacing w:before="78" w:after="78"/>
        <w:jc w:val="center"/>
        <w:rPr>
          <w:rFonts w:hint="default" w:ascii="华文中宋" w:hAnsi="华文中宋" w:eastAsia="华文中宋"/>
          <w:sz w:val="28"/>
          <w:szCs w:val="28"/>
          <w:lang w:val="en-US" w:eastAsia="zh-CN"/>
        </w:rPr>
      </w:pPr>
      <w:r>
        <w:rPr>
          <w:rFonts w:hint="eastAsia" w:ascii="华文中宋" w:hAnsi="华文中宋" w:eastAsia="华文中宋"/>
          <w:b/>
          <w:lang w:val="en-US" w:eastAsia="zh-CN"/>
        </w:rPr>
        <w:t>综合楼</w:t>
      </w:r>
    </w:p>
    <w:p>
      <w:pPr>
        <w:pStyle w:val="56"/>
        <w:spacing w:before="78" w:after="78"/>
        <w:ind w:firstLine="2240" w:firstLineChars="800"/>
        <w:jc w:val="both"/>
        <w:rPr>
          <w:rFonts w:hint="eastAsia" w:ascii="华文中宋" w:hAnsi="华文中宋" w:eastAsia="华文中宋"/>
          <w:sz w:val="28"/>
          <w:szCs w:val="28"/>
          <w:lang w:val="en-US" w:eastAsia="zh-CN"/>
        </w:rPr>
      </w:pPr>
    </w:p>
    <w:p>
      <w:pPr>
        <w:pStyle w:val="56"/>
        <w:spacing w:before="78" w:after="78"/>
        <w:ind w:firstLine="2240" w:firstLineChars="800"/>
        <w:jc w:val="both"/>
        <w:rPr>
          <w:rFonts w:hint="eastAsia" w:ascii="华文中宋" w:hAnsi="华文中宋" w:eastAsia="华文中宋"/>
          <w:sz w:val="28"/>
          <w:szCs w:val="28"/>
          <w:lang w:val="en-US" w:eastAsia="zh-CN"/>
        </w:rPr>
      </w:pPr>
      <w:r>
        <w:rPr>
          <w:rFonts w:hint="eastAsia" w:ascii="华文中宋" w:hAnsi="华文中宋" w:eastAsia="华文中宋"/>
          <w:sz w:val="28"/>
          <w:szCs w:val="28"/>
          <w:lang w:val="en-US" w:eastAsia="zh-CN"/>
        </w:rPr>
        <w:t>审定:</w:t>
      </w:r>
    </w:p>
    <w:p>
      <w:pPr>
        <w:pStyle w:val="56"/>
        <w:spacing w:before="78" w:after="78"/>
        <w:ind w:firstLine="2240" w:firstLineChars="800"/>
        <w:jc w:val="both"/>
        <w:rPr>
          <w:rFonts w:hint="eastAsia" w:ascii="华文中宋" w:hAnsi="华文中宋" w:eastAsia="华文中宋"/>
          <w:sz w:val="28"/>
          <w:szCs w:val="28"/>
          <w:lang w:val="en-US" w:eastAsia="zh-CN"/>
        </w:rPr>
      </w:pPr>
      <w:r>
        <w:rPr>
          <w:rFonts w:hint="eastAsia" w:ascii="华文中宋" w:hAnsi="华文中宋" w:eastAsia="华文中宋"/>
          <w:sz w:val="28"/>
          <w:szCs w:val="28"/>
          <w:lang w:val="en-US" w:eastAsia="zh-CN"/>
        </w:rPr>
        <w:t>审核：</w:t>
      </w:r>
    </w:p>
    <w:p>
      <w:pPr>
        <w:pStyle w:val="56"/>
        <w:spacing w:before="78" w:after="78"/>
        <w:ind w:firstLine="1400" w:firstLineChars="500"/>
        <w:jc w:val="both"/>
        <w:rPr>
          <w:rFonts w:hint="eastAsia" w:ascii="华文中宋" w:hAnsi="华文中宋" w:eastAsia="华文中宋"/>
          <w:sz w:val="28"/>
          <w:szCs w:val="28"/>
          <w:lang w:val="en-US" w:eastAsia="zh-CN"/>
        </w:rPr>
      </w:pPr>
      <w:r>
        <w:rPr>
          <w:rFonts w:hint="eastAsia" w:ascii="华文中宋" w:hAnsi="华文中宋" w:eastAsia="华文中宋"/>
          <w:sz w:val="28"/>
          <w:szCs w:val="28"/>
          <w:lang w:val="en-US" w:eastAsia="zh-CN"/>
        </w:rPr>
        <w:t>专业负责人:</w:t>
      </w:r>
    </w:p>
    <w:p>
      <w:pPr>
        <w:pStyle w:val="56"/>
        <w:spacing w:before="78" w:after="78"/>
        <w:ind w:firstLine="2240" w:firstLineChars="800"/>
        <w:jc w:val="both"/>
        <w:rPr>
          <w:rFonts w:hint="eastAsia" w:ascii="华文中宋" w:hAnsi="华文中宋" w:eastAsia="华文中宋"/>
          <w:sz w:val="28"/>
          <w:szCs w:val="28"/>
          <w:lang w:val="en-US" w:eastAsia="zh-CN"/>
        </w:rPr>
      </w:pPr>
      <w:r>
        <w:rPr>
          <w:rFonts w:hint="eastAsia" w:ascii="华文中宋" w:hAnsi="华文中宋" w:eastAsia="华文中宋"/>
          <w:sz w:val="28"/>
          <w:szCs w:val="28"/>
          <w:lang w:val="en-US" w:eastAsia="zh-CN"/>
        </w:rPr>
        <w:t>设计：</w:t>
      </w:r>
    </w:p>
    <w:p>
      <w:pPr>
        <w:pStyle w:val="56"/>
        <w:spacing w:before="78" w:after="78"/>
        <w:rPr>
          <w:rFonts w:hint="default" w:ascii="华文中宋" w:hAnsi="华文中宋" w:eastAsia="华文中宋"/>
          <w:lang w:val="en-US" w:eastAsia="zh-CN"/>
        </w:rPr>
      </w:pPr>
    </w:p>
    <w:p>
      <w:pPr>
        <w:pStyle w:val="56"/>
        <w:spacing w:before="78" w:after="78"/>
        <w:rPr>
          <w:rFonts w:ascii="华文中宋" w:hAnsi="华文中宋" w:eastAsia="华文中宋"/>
        </w:rPr>
      </w:pPr>
    </w:p>
    <w:p>
      <w:pPr>
        <w:pStyle w:val="56"/>
        <w:spacing w:before="78" w:after="78"/>
        <w:jc w:val="both"/>
      </w:pPr>
    </w:p>
    <w:p>
      <w:pPr>
        <w:pStyle w:val="56"/>
        <w:spacing w:before="78" w:after="78"/>
        <w:jc w:val="both"/>
      </w:pPr>
    </w:p>
    <w:p>
      <w:pPr>
        <w:pStyle w:val="56"/>
        <w:spacing w:before="78" w:after="78"/>
        <w:jc w:val="both"/>
      </w:pPr>
    </w:p>
    <w:p>
      <w:pPr>
        <w:pStyle w:val="56"/>
        <w:spacing w:before="78" w:after="78"/>
      </w:pPr>
    </w:p>
    <w:p>
      <w:pPr>
        <w:pStyle w:val="57"/>
        <w:spacing w:line="360" w:lineRule="auto"/>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中铁第五勘察设计院集团有限公司</w:t>
      </w:r>
    </w:p>
    <w:p>
      <w:pPr>
        <w:pStyle w:val="58"/>
        <w:spacing w:line="360" w:lineRule="auto"/>
        <w:ind w:firstLine="528"/>
        <w:jc w:val="center"/>
        <w:rPr>
          <w:rFonts w:ascii="Calibri" w:hAnsi="Calibri" w:eastAsia="华文中宋"/>
          <w:w w:val="110"/>
          <w:sz w:val="24"/>
          <w:szCs w:val="24"/>
        </w:rPr>
      </w:pPr>
      <w:r>
        <w:rPr>
          <w:rFonts w:ascii="Calibri" w:hAnsi="Calibri" w:eastAsia="华文中宋"/>
          <w:w w:val="110"/>
          <w:sz w:val="24"/>
          <w:szCs w:val="24"/>
        </w:rPr>
        <w:t>工程设计证书</w:t>
      </w:r>
      <w:r>
        <w:rPr>
          <w:rFonts w:hint="eastAsia" w:ascii="Calibri" w:hAnsi="Calibri" w:eastAsia="华文中宋"/>
          <w:w w:val="110"/>
          <w:sz w:val="24"/>
          <w:szCs w:val="24"/>
        </w:rPr>
        <w:t>综合</w:t>
      </w:r>
      <w:r>
        <w:rPr>
          <w:rFonts w:ascii="Calibri" w:hAnsi="Calibri" w:eastAsia="华文中宋"/>
          <w:w w:val="110"/>
          <w:sz w:val="24"/>
          <w:szCs w:val="24"/>
        </w:rPr>
        <w:t>甲级 A111001755</w:t>
      </w:r>
    </w:p>
    <w:p>
      <w:pPr>
        <w:spacing w:line="1000" w:lineRule="exact"/>
        <w:jc w:val="center"/>
        <w:rPr>
          <w:rFonts w:hint="eastAsia" w:ascii="宋体" w:hAnsi="宋体" w:eastAsia="华文中宋"/>
          <w:b/>
          <w:bCs/>
          <w:sz w:val="32"/>
          <w:szCs w:val="32"/>
          <w:lang w:eastAsia="zh-CN"/>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r>
        <w:rPr>
          <w:rFonts w:ascii="Calibri" w:hAnsi="Calibri" w:eastAsia="华文中宋"/>
          <w:w w:val="110"/>
          <w:sz w:val="24"/>
          <w:szCs w:val="24"/>
        </w:rPr>
        <w:t>202</w:t>
      </w:r>
      <w:r>
        <w:rPr>
          <w:rFonts w:hint="eastAsia" w:ascii="Calibri" w:hAnsi="Calibri" w:eastAsia="华文中宋"/>
          <w:w w:val="110"/>
          <w:sz w:val="24"/>
          <w:szCs w:val="24"/>
          <w:lang w:val="en-US" w:eastAsia="zh-CN"/>
        </w:rPr>
        <w:t>4</w:t>
      </w:r>
      <w:r>
        <w:rPr>
          <w:rFonts w:ascii="Calibri" w:hAnsi="华文中宋" w:eastAsia="华文中宋"/>
          <w:w w:val="110"/>
          <w:sz w:val="24"/>
          <w:szCs w:val="24"/>
        </w:rPr>
        <w:t>年</w:t>
      </w:r>
      <w:r>
        <w:rPr>
          <w:rFonts w:ascii="Calibri" w:hAnsi="Calibri" w:eastAsia="华文中宋"/>
          <w:w w:val="110"/>
          <w:sz w:val="24"/>
          <w:szCs w:val="24"/>
        </w:rPr>
        <w:t>08</w:t>
      </w:r>
      <w:r>
        <w:rPr>
          <w:rFonts w:ascii="Calibri" w:hAnsi="华文中宋" w:eastAsia="华文中宋"/>
          <w:w w:val="110"/>
          <w:sz w:val="24"/>
          <w:szCs w:val="24"/>
        </w:rPr>
        <w:t>月</w:t>
      </w:r>
      <w:r>
        <w:rPr>
          <w:rFonts w:ascii="Calibri" w:hAnsi="Calibri" w:eastAsia="华文中宋"/>
          <w:w w:val="110"/>
          <w:sz w:val="24"/>
          <w:szCs w:val="24"/>
        </w:rPr>
        <w:t xml:space="preserve">  </w:t>
      </w:r>
      <w:bookmarkEnd w:id="1"/>
      <w:r>
        <w:rPr>
          <w:rFonts w:hint="eastAsia" w:ascii="Calibri" w:hAnsi="华文中宋" w:eastAsia="华文中宋"/>
          <w:w w:val="110"/>
          <w:sz w:val="24"/>
          <w:szCs w:val="24"/>
          <w:lang w:val="en-US" w:eastAsia="zh-CN"/>
        </w:rPr>
        <w:t>哈尔滨</w:t>
      </w:r>
    </w:p>
    <w:sdt>
      <w:sdtPr>
        <w:id w:val="3"/>
        <w:docPartObj>
          <w:docPartGallery w:val="Table of Contents"/>
          <w:docPartUnique/>
        </w:docPartObj>
      </w:sdtPr>
      <w:sdtContent>
        <w:p>
          <w:pPr>
            <w:pStyle w:val="54"/>
            <w:jc w:val="center"/>
          </w:pPr>
          <w:bookmarkStart w:id="60" w:name="_GoBack"/>
          <w:bookmarkEnd w:id="60"/>
          <w:r>
            <w:rPr>
              <w:color w:val="000000"/>
              <w:lang w:val="zh-CN"/>
            </w:rPr>
            <w:t>目  录</w:t>
          </w:r>
        </w:p>
        <w:p>
          <w:pPr>
            <w:pStyle w:val="12"/>
            <w:tabs>
              <w:tab w:val="right" w:leader="dot" w:pos="8611"/>
            </w:tabs>
          </w:pPr>
          <w:r>
            <w:fldChar w:fldCharType="begin"/>
          </w:r>
          <w:r>
            <w:instrText xml:space="preserve"> TOC \o "1-4" \h \z \u </w:instrText>
          </w:r>
          <w:r>
            <w:fldChar w:fldCharType="separate"/>
          </w:r>
          <w:r>
            <w:fldChar w:fldCharType="begin"/>
          </w:r>
          <w:r>
            <w:instrText xml:space="preserve"> HYPERLINK \l "_Toc0" \h </w:instrText>
          </w:r>
          <w:r>
            <w:fldChar w:fldCharType="separate"/>
          </w:r>
          <w:r>
            <w:t>一. 设计依据信息</w:t>
          </w:r>
          <w:r>
            <w:tab/>
          </w:r>
          <w:r>
            <w:fldChar w:fldCharType="begin"/>
          </w:r>
          <w:r>
            <w:instrText xml:space="preserve"> PAGEREF _Toc0 \h </w:instrText>
          </w:r>
          <w:r>
            <w:fldChar w:fldCharType="separate"/>
          </w:r>
          <w:r>
            <w:fldChar w:fldCharType="end"/>
          </w:r>
          <w:r>
            <w:fldChar w:fldCharType="end"/>
          </w:r>
        </w:p>
        <w:p>
          <w:pPr>
            <w:pStyle w:val="12"/>
            <w:tabs>
              <w:tab w:val="right" w:leader="dot" w:pos="8611"/>
            </w:tabs>
          </w:pPr>
          <w:r>
            <w:fldChar w:fldCharType="begin"/>
          </w:r>
          <w:r>
            <w:instrText xml:space="preserve"> HYPERLINK \l "_Toc1" </w:instrText>
          </w:r>
          <w:r>
            <w:fldChar w:fldCharType="separate"/>
          </w:r>
          <w:r>
            <w:t>二. 计算软件信息</w:t>
          </w:r>
          <w:r>
            <w:tab/>
          </w:r>
          <w:r>
            <w:fldChar w:fldCharType="begin"/>
          </w:r>
          <w:r>
            <w:instrText xml:space="preserve"> PAGEREF _Toc1 \h </w:instrText>
          </w:r>
          <w:r>
            <w:fldChar w:fldCharType="separate"/>
          </w:r>
          <w:r>
            <w:fldChar w:fldCharType="end"/>
          </w:r>
          <w:r>
            <w:fldChar w:fldCharType="end"/>
          </w:r>
        </w:p>
        <w:p>
          <w:pPr>
            <w:pStyle w:val="12"/>
            <w:tabs>
              <w:tab w:val="right" w:leader="dot" w:pos="8611"/>
            </w:tabs>
          </w:pPr>
          <w:r>
            <w:fldChar w:fldCharType="begin"/>
          </w:r>
          <w:r>
            <w:instrText xml:space="preserve"> HYPERLINK \l "_Toc2" \h </w:instrText>
          </w:r>
          <w:r>
            <w:fldChar w:fldCharType="separate"/>
          </w:r>
          <w:r>
            <w:t>三. 项目基本信息</w:t>
          </w:r>
          <w:r>
            <w:tab/>
          </w:r>
          <w:r>
            <w:fldChar w:fldCharType="begin"/>
          </w:r>
          <w:r>
            <w:instrText xml:space="preserve"> PAGEREF _Toc2 \h </w:instrText>
          </w:r>
          <w:r>
            <w:fldChar w:fldCharType="separate"/>
          </w:r>
          <w:r>
            <w:fldChar w:fldCharType="end"/>
          </w:r>
          <w:r>
            <w:fldChar w:fldCharType="end"/>
          </w:r>
        </w:p>
        <w:p>
          <w:pPr>
            <w:pStyle w:val="12"/>
            <w:tabs>
              <w:tab w:val="right" w:leader="dot" w:pos="8611"/>
            </w:tabs>
          </w:pPr>
          <w:r>
            <w:fldChar w:fldCharType="begin"/>
          </w:r>
          <w:r>
            <w:instrText xml:space="preserve"> HYPERLINK \l "_Toc3" \h </w:instrText>
          </w:r>
          <w:r>
            <w:fldChar w:fldCharType="separate"/>
          </w:r>
          <w:r>
            <w:t>四. 指标汇总信息</w:t>
          </w:r>
          <w:r>
            <w:tab/>
          </w:r>
          <w:r>
            <w:fldChar w:fldCharType="begin"/>
          </w:r>
          <w:r>
            <w:instrText xml:space="preserve"> PAGEREF _Toc3 \h </w:instrText>
          </w:r>
          <w:r>
            <w:fldChar w:fldCharType="separate"/>
          </w:r>
          <w:r>
            <w:fldChar w:fldCharType="end"/>
          </w:r>
          <w:r>
            <w:fldChar w:fldCharType="end"/>
          </w:r>
        </w:p>
        <w:p>
          <w:pPr>
            <w:pStyle w:val="12"/>
            <w:tabs>
              <w:tab w:val="right" w:leader="dot" w:pos="8611"/>
            </w:tabs>
          </w:pPr>
          <w:r>
            <w:fldChar w:fldCharType="begin"/>
          </w:r>
          <w:r>
            <w:instrText xml:space="preserve"> HYPERLINK \l "_Toc4" \h </w:instrText>
          </w:r>
          <w:r>
            <w:fldChar w:fldCharType="separate"/>
          </w:r>
          <w:r>
            <w:t>五. 结构模型概况</w:t>
          </w:r>
          <w:r>
            <w:tab/>
          </w:r>
          <w:r>
            <w:fldChar w:fldCharType="begin"/>
          </w:r>
          <w:r>
            <w:instrText xml:space="preserve"> PAGEREF _Toc4 \h </w:instrText>
          </w:r>
          <w:r>
            <w:fldChar w:fldCharType="separate"/>
          </w:r>
          <w:r>
            <w:fldChar w:fldCharType="end"/>
          </w:r>
          <w:r>
            <w:fldChar w:fldCharType="end"/>
          </w:r>
        </w:p>
        <w:p>
          <w:pPr>
            <w:pStyle w:val="15"/>
            <w:tabs>
              <w:tab w:val="right" w:leader="dot" w:pos="8611"/>
            </w:tabs>
          </w:pPr>
          <w:r>
            <w:fldChar w:fldCharType="begin"/>
          </w:r>
          <w:r>
            <w:instrText xml:space="preserve"> HYPERLINK \l "_Toc5" \h </w:instrText>
          </w:r>
          <w:r>
            <w:fldChar w:fldCharType="separate"/>
          </w:r>
          <w:r>
            <w:t>1. 系统总信息</w:t>
          </w:r>
          <w:r>
            <w:tab/>
          </w:r>
          <w:r>
            <w:fldChar w:fldCharType="begin"/>
          </w:r>
          <w:r>
            <w:instrText xml:space="preserve"> PAGEREF _Toc5 \h </w:instrText>
          </w:r>
          <w:r>
            <w:fldChar w:fldCharType="separate"/>
          </w:r>
          <w:r>
            <w:fldChar w:fldCharType="end"/>
          </w:r>
          <w:r>
            <w:fldChar w:fldCharType="end"/>
          </w:r>
        </w:p>
        <w:p>
          <w:pPr>
            <w:pStyle w:val="15"/>
            <w:tabs>
              <w:tab w:val="right" w:leader="dot" w:pos="8611"/>
            </w:tabs>
          </w:pPr>
          <w:r>
            <w:fldChar w:fldCharType="begin"/>
          </w:r>
          <w:r>
            <w:instrText xml:space="preserve"> HYPERLINK \l "_Toc6" \h </w:instrText>
          </w:r>
          <w:r>
            <w:fldChar w:fldCharType="separate"/>
          </w:r>
          <w:r>
            <w:t>2. 楼层信息</w:t>
          </w:r>
          <w:r>
            <w:tab/>
          </w:r>
          <w:r>
            <w:fldChar w:fldCharType="begin"/>
          </w:r>
          <w:r>
            <w:instrText xml:space="preserve"> PAGEREF _Toc6 \h </w:instrText>
          </w:r>
          <w:r>
            <w:fldChar w:fldCharType="separate"/>
          </w:r>
          <w:r>
            <w:fldChar w:fldCharType="end"/>
          </w:r>
          <w:r>
            <w:fldChar w:fldCharType="end"/>
          </w:r>
        </w:p>
        <w:p>
          <w:pPr>
            <w:pStyle w:val="15"/>
            <w:tabs>
              <w:tab w:val="right" w:leader="dot" w:pos="8611"/>
            </w:tabs>
          </w:pPr>
          <w:r>
            <w:fldChar w:fldCharType="begin"/>
          </w:r>
          <w:r>
            <w:instrText xml:space="preserve"> HYPERLINK \l "_Toc7" \h </w:instrText>
          </w:r>
          <w:r>
            <w:fldChar w:fldCharType="separate"/>
          </w:r>
          <w:r>
            <w:t>3. 各层等效尺寸</w:t>
          </w:r>
          <w:r>
            <w:tab/>
          </w:r>
          <w:r>
            <w:fldChar w:fldCharType="begin"/>
          </w:r>
          <w:r>
            <w:instrText xml:space="preserve"> PAGEREF _Toc7 \h </w:instrText>
          </w:r>
          <w:r>
            <w:fldChar w:fldCharType="separate"/>
          </w:r>
          <w:r>
            <w:fldChar w:fldCharType="end"/>
          </w:r>
          <w:r>
            <w:fldChar w:fldCharType="end"/>
          </w:r>
        </w:p>
        <w:p>
          <w:pPr>
            <w:pStyle w:val="15"/>
            <w:tabs>
              <w:tab w:val="right" w:leader="dot" w:pos="8611"/>
            </w:tabs>
          </w:pPr>
          <w:r>
            <w:fldChar w:fldCharType="begin"/>
          </w:r>
          <w:r>
            <w:instrText xml:space="preserve"> HYPERLINK \l "_Toc8" \h </w:instrText>
          </w:r>
          <w:r>
            <w:fldChar w:fldCharType="separate"/>
          </w:r>
          <w:r>
            <w:t>4. 层塔属性</w:t>
          </w:r>
          <w:r>
            <w:tab/>
          </w:r>
          <w:r>
            <w:fldChar w:fldCharType="begin"/>
          </w:r>
          <w:r>
            <w:instrText xml:space="preserve"> PAGEREF _Toc8 \h </w:instrText>
          </w:r>
          <w:r>
            <w:fldChar w:fldCharType="separate"/>
          </w:r>
          <w:r>
            <w:fldChar w:fldCharType="end"/>
          </w:r>
          <w:r>
            <w:fldChar w:fldCharType="end"/>
          </w:r>
        </w:p>
        <w:p>
          <w:pPr>
            <w:pStyle w:val="12"/>
            <w:tabs>
              <w:tab w:val="right" w:leader="dot" w:pos="8611"/>
            </w:tabs>
          </w:pPr>
          <w:r>
            <w:fldChar w:fldCharType="begin"/>
          </w:r>
          <w:r>
            <w:instrText xml:space="preserve"> HYPERLINK \l "_Toc9" \h </w:instrText>
          </w:r>
          <w:r>
            <w:fldChar w:fldCharType="separate"/>
          </w:r>
          <w:r>
            <w:t>六. 工况和组合</w:t>
          </w:r>
          <w:r>
            <w:tab/>
          </w:r>
          <w:r>
            <w:fldChar w:fldCharType="begin"/>
          </w:r>
          <w:r>
            <w:instrText xml:space="preserve"> PAGEREF _Toc9 \h </w:instrText>
          </w:r>
          <w:r>
            <w:fldChar w:fldCharType="separate"/>
          </w:r>
          <w:r>
            <w:fldChar w:fldCharType="end"/>
          </w:r>
          <w:r>
            <w:fldChar w:fldCharType="end"/>
          </w:r>
        </w:p>
        <w:p>
          <w:pPr>
            <w:pStyle w:val="15"/>
            <w:tabs>
              <w:tab w:val="right" w:leader="dot" w:pos="8611"/>
            </w:tabs>
          </w:pPr>
          <w:r>
            <w:fldChar w:fldCharType="begin"/>
          </w:r>
          <w:r>
            <w:instrText xml:space="preserve"> HYPERLINK \l "_Toc10" \h </w:instrText>
          </w:r>
          <w:r>
            <w:fldChar w:fldCharType="separate"/>
          </w:r>
          <w:r>
            <w:t>1. 工况设定</w:t>
          </w:r>
          <w:r>
            <w:tab/>
          </w:r>
          <w:r>
            <w:fldChar w:fldCharType="begin"/>
          </w:r>
          <w:r>
            <w:instrText xml:space="preserve"> PAGEREF _Toc10 \h </w:instrText>
          </w:r>
          <w:r>
            <w:fldChar w:fldCharType="separate"/>
          </w:r>
          <w:r>
            <w:fldChar w:fldCharType="end"/>
          </w:r>
          <w:r>
            <w:fldChar w:fldCharType="end"/>
          </w:r>
        </w:p>
        <w:p>
          <w:pPr>
            <w:pStyle w:val="15"/>
            <w:tabs>
              <w:tab w:val="right" w:leader="dot" w:pos="8611"/>
            </w:tabs>
          </w:pPr>
          <w:r>
            <w:fldChar w:fldCharType="begin"/>
          </w:r>
          <w:r>
            <w:instrText xml:space="preserve"> HYPERLINK \l "_Toc11" \h </w:instrText>
          </w:r>
          <w:r>
            <w:fldChar w:fldCharType="separate"/>
          </w:r>
          <w:r>
            <w:t>2. 工况信息</w:t>
          </w:r>
          <w:r>
            <w:tab/>
          </w:r>
          <w:r>
            <w:fldChar w:fldCharType="begin"/>
          </w:r>
          <w:r>
            <w:instrText xml:space="preserve"> PAGEREF _Toc11 \h </w:instrText>
          </w:r>
          <w:r>
            <w:fldChar w:fldCharType="separate"/>
          </w:r>
          <w:r>
            <w:fldChar w:fldCharType="end"/>
          </w:r>
          <w:r>
            <w:fldChar w:fldCharType="end"/>
          </w:r>
        </w:p>
        <w:p>
          <w:pPr>
            <w:pStyle w:val="12"/>
            <w:tabs>
              <w:tab w:val="right" w:leader="dot" w:pos="8611"/>
            </w:tabs>
          </w:pPr>
          <w:r>
            <w:fldChar w:fldCharType="begin"/>
          </w:r>
          <w:r>
            <w:instrText xml:space="preserve"> HYPERLINK \l "_Toc12" \h </w:instrText>
          </w:r>
          <w:r>
            <w:fldChar w:fldCharType="separate"/>
          </w:r>
          <w:r>
            <w:t>七. 质量信息</w:t>
          </w:r>
          <w:r>
            <w:tab/>
          </w:r>
          <w:r>
            <w:fldChar w:fldCharType="begin"/>
          </w:r>
          <w:r>
            <w:instrText xml:space="preserve"> PAGEREF _Toc12 \h </w:instrText>
          </w:r>
          <w:r>
            <w:fldChar w:fldCharType="separate"/>
          </w:r>
          <w:r>
            <w:fldChar w:fldCharType="end"/>
          </w:r>
          <w:r>
            <w:fldChar w:fldCharType="end"/>
          </w:r>
        </w:p>
        <w:p>
          <w:pPr>
            <w:pStyle w:val="15"/>
            <w:tabs>
              <w:tab w:val="right" w:leader="dot" w:pos="8611"/>
            </w:tabs>
          </w:pPr>
          <w:r>
            <w:fldChar w:fldCharType="begin"/>
          </w:r>
          <w:r>
            <w:instrText xml:space="preserve"> HYPERLINK \l "_Toc13" \h </w:instrText>
          </w:r>
          <w:r>
            <w:fldChar w:fldCharType="separate"/>
          </w:r>
          <w:r>
            <w:t>1. 结构质量分布</w:t>
          </w:r>
          <w:r>
            <w:tab/>
          </w:r>
          <w:r>
            <w:fldChar w:fldCharType="begin"/>
          </w:r>
          <w:r>
            <w:instrText xml:space="preserve"> PAGEREF _Toc13 \h </w:instrText>
          </w:r>
          <w:r>
            <w:fldChar w:fldCharType="separate"/>
          </w:r>
          <w:r>
            <w:fldChar w:fldCharType="end"/>
          </w:r>
          <w:r>
            <w:fldChar w:fldCharType="end"/>
          </w:r>
        </w:p>
        <w:p>
          <w:pPr>
            <w:pStyle w:val="15"/>
            <w:tabs>
              <w:tab w:val="right" w:leader="dot" w:pos="8611"/>
            </w:tabs>
          </w:pPr>
          <w:r>
            <w:fldChar w:fldCharType="begin"/>
          </w:r>
          <w:r>
            <w:instrText xml:space="preserve"> HYPERLINK \l "_Toc14" \h </w:instrText>
          </w:r>
          <w:r>
            <w:fldChar w:fldCharType="separate"/>
          </w:r>
          <w:r>
            <w:t>2. 各层刚心、偏心率信息</w:t>
          </w:r>
          <w:r>
            <w:tab/>
          </w:r>
          <w:r>
            <w:fldChar w:fldCharType="begin"/>
          </w:r>
          <w:r>
            <w:instrText xml:space="preserve"> PAGEREF _Toc14 \h </w:instrText>
          </w:r>
          <w:r>
            <w:fldChar w:fldCharType="separate"/>
          </w:r>
          <w:r>
            <w:fldChar w:fldCharType="end"/>
          </w:r>
          <w:r>
            <w:fldChar w:fldCharType="end"/>
          </w:r>
        </w:p>
        <w:p>
          <w:pPr>
            <w:pStyle w:val="12"/>
            <w:tabs>
              <w:tab w:val="right" w:leader="dot" w:pos="8611"/>
            </w:tabs>
          </w:pPr>
          <w:r>
            <w:fldChar w:fldCharType="begin"/>
          </w:r>
          <w:r>
            <w:instrText xml:space="preserve"> HYPERLINK \l "_Toc15" \h </w:instrText>
          </w:r>
          <w:r>
            <w:fldChar w:fldCharType="separate"/>
          </w:r>
          <w:r>
            <w:t>八. 荷载信息</w:t>
          </w:r>
          <w:r>
            <w:tab/>
          </w:r>
          <w:r>
            <w:fldChar w:fldCharType="begin"/>
          </w:r>
          <w:r>
            <w:instrText xml:space="preserve"> PAGEREF _Toc15 \h </w:instrText>
          </w:r>
          <w:r>
            <w:fldChar w:fldCharType="separate"/>
          </w:r>
          <w:r>
            <w:fldChar w:fldCharType="end"/>
          </w:r>
          <w:r>
            <w:fldChar w:fldCharType="end"/>
          </w:r>
        </w:p>
        <w:p>
          <w:pPr>
            <w:pStyle w:val="15"/>
            <w:tabs>
              <w:tab w:val="right" w:leader="dot" w:pos="8611"/>
            </w:tabs>
          </w:pPr>
          <w:r>
            <w:fldChar w:fldCharType="begin"/>
          </w:r>
          <w:r>
            <w:instrText xml:space="preserve"> HYPERLINK \l "_Toc16" \h </w:instrText>
          </w:r>
          <w:r>
            <w:fldChar w:fldCharType="separate"/>
          </w:r>
          <w:r>
            <w:t>1. 风荷载信息</w:t>
          </w:r>
          <w:r>
            <w:tab/>
          </w:r>
          <w:r>
            <w:fldChar w:fldCharType="begin"/>
          </w:r>
          <w:r>
            <w:instrText xml:space="preserve"> PAGEREF _Toc16 \h </w:instrText>
          </w:r>
          <w:r>
            <w:fldChar w:fldCharType="separate"/>
          </w:r>
          <w:r>
            <w:fldChar w:fldCharType="end"/>
          </w:r>
          <w:r>
            <w:fldChar w:fldCharType="end"/>
          </w:r>
        </w:p>
        <w:p>
          <w:pPr>
            <w:pStyle w:val="12"/>
            <w:tabs>
              <w:tab w:val="right" w:leader="dot" w:pos="8611"/>
            </w:tabs>
          </w:pPr>
          <w:r>
            <w:fldChar w:fldCharType="begin"/>
          </w:r>
          <w:r>
            <w:instrText xml:space="preserve"> HYPERLINK \l "_Toc17" \h </w:instrText>
          </w:r>
          <w:r>
            <w:fldChar w:fldCharType="separate"/>
          </w:r>
          <w:r>
            <w:t>九. 立面规则性</w:t>
          </w:r>
          <w:r>
            <w:tab/>
          </w:r>
          <w:r>
            <w:fldChar w:fldCharType="begin"/>
          </w:r>
          <w:r>
            <w:instrText xml:space="preserve"> PAGEREF _Toc17 \h </w:instrText>
          </w:r>
          <w:r>
            <w:fldChar w:fldCharType="separate"/>
          </w:r>
          <w:r>
            <w:fldChar w:fldCharType="end"/>
          </w:r>
          <w:r>
            <w:fldChar w:fldCharType="end"/>
          </w:r>
        </w:p>
        <w:p>
          <w:pPr>
            <w:pStyle w:val="15"/>
            <w:tabs>
              <w:tab w:val="right" w:leader="dot" w:pos="8611"/>
            </w:tabs>
          </w:pPr>
          <w:r>
            <w:fldChar w:fldCharType="begin"/>
          </w:r>
          <w:r>
            <w:instrText xml:space="preserve"> HYPERLINK \l "_Toc18" \h </w:instrText>
          </w:r>
          <w:r>
            <w:fldChar w:fldCharType="separate"/>
          </w:r>
          <w:r>
            <w:t>1. 楼层侧向剪切刚度</w:t>
          </w:r>
          <w:r>
            <w:tab/>
          </w:r>
          <w:r>
            <w:fldChar w:fldCharType="begin"/>
          </w:r>
          <w:r>
            <w:instrText xml:space="preserve"> PAGEREF _Toc18 \h </w:instrText>
          </w:r>
          <w:r>
            <w:fldChar w:fldCharType="separate"/>
          </w:r>
          <w:r>
            <w:fldChar w:fldCharType="end"/>
          </w:r>
          <w:r>
            <w:fldChar w:fldCharType="end"/>
          </w:r>
        </w:p>
        <w:p>
          <w:pPr>
            <w:pStyle w:val="15"/>
            <w:tabs>
              <w:tab w:val="right" w:leader="dot" w:pos="8611"/>
            </w:tabs>
          </w:pPr>
          <w:r>
            <w:fldChar w:fldCharType="begin"/>
          </w:r>
          <w:r>
            <w:instrText xml:space="preserve"> HYPERLINK \l "_Toc19" \h </w:instrText>
          </w:r>
          <w:r>
            <w:fldChar w:fldCharType="separate"/>
          </w:r>
          <w:r>
            <w:t>2. [楼层剪力/层间位移]刚度</w:t>
          </w:r>
          <w:r>
            <w:tab/>
          </w:r>
          <w:r>
            <w:fldChar w:fldCharType="begin"/>
          </w:r>
          <w:r>
            <w:instrText xml:space="preserve"> PAGEREF _Toc19 \h </w:instrText>
          </w:r>
          <w:r>
            <w:fldChar w:fldCharType="separate"/>
          </w:r>
          <w:r>
            <w:fldChar w:fldCharType="end"/>
          </w:r>
          <w:r>
            <w:fldChar w:fldCharType="end"/>
          </w:r>
        </w:p>
        <w:p>
          <w:pPr>
            <w:pStyle w:val="15"/>
            <w:tabs>
              <w:tab w:val="right" w:leader="dot" w:pos="8611"/>
            </w:tabs>
          </w:pPr>
          <w:r>
            <w:fldChar w:fldCharType="begin"/>
          </w:r>
          <w:r>
            <w:instrText xml:space="preserve"> HYPERLINK \l "_Toc20" \h </w:instrText>
          </w:r>
          <w:r>
            <w:fldChar w:fldCharType="separate"/>
          </w:r>
          <w:r>
            <w:t>3. [楼层剪力/层间位移]刚度(强刚)</w:t>
          </w:r>
          <w:r>
            <w:tab/>
          </w:r>
          <w:r>
            <w:fldChar w:fldCharType="begin"/>
          </w:r>
          <w:r>
            <w:instrText xml:space="preserve"> PAGEREF _Toc20 \h </w:instrText>
          </w:r>
          <w:r>
            <w:fldChar w:fldCharType="separate"/>
          </w:r>
          <w:r>
            <w:fldChar w:fldCharType="end"/>
          </w:r>
          <w:r>
            <w:fldChar w:fldCharType="end"/>
          </w:r>
        </w:p>
        <w:p>
          <w:pPr>
            <w:pStyle w:val="15"/>
            <w:tabs>
              <w:tab w:val="right" w:leader="dot" w:pos="8611"/>
            </w:tabs>
          </w:pPr>
          <w:r>
            <w:fldChar w:fldCharType="begin"/>
          </w:r>
          <w:r>
            <w:instrText xml:space="preserve"> HYPERLINK \l "_Toc21" \h </w:instrText>
          </w:r>
          <w:r>
            <w:fldChar w:fldCharType="separate"/>
          </w:r>
          <w:r>
            <w:t>4. 楼层薄弱层调整系数</w:t>
          </w:r>
          <w:r>
            <w:tab/>
          </w:r>
          <w:r>
            <w:fldChar w:fldCharType="begin"/>
          </w:r>
          <w:r>
            <w:instrText xml:space="preserve"> PAGEREF _Toc21 \h </w:instrText>
          </w:r>
          <w:r>
            <w:fldChar w:fldCharType="separate"/>
          </w:r>
          <w:r>
            <w:fldChar w:fldCharType="end"/>
          </w:r>
          <w:r>
            <w:fldChar w:fldCharType="end"/>
          </w:r>
        </w:p>
        <w:p>
          <w:pPr>
            <w:pStyle w:val="12"/>
            <w:tabs>
              <w:tab w:val="right" w:leader="dot" w:pos="8611"/>
            </w:tabs>
          </w:pPr>
          <w:r>
            <w:fldChar w:fldCharType="begin"/>
          </w:r>
          <w:r>
            <w:instrText xml:space="preserve"> HYPERLINK \l "_Toc22" \h </w:instrText>
          </w:r>
          <w:r>
            <w:fldChar w:fldCharType="separate"/>
          </w:r>
          <w:r>
            <w:t>十. 抗震分析及调整</w:t>
          </w:r>
          <w:r>
            <w:tab/>
          </w:r>
          <w:r>
            <w:fldChar w:fldCharType="begin"/>
          </w:r>
          <w:r>
            <w:instrText xml:space="preserve"> PAGEREF _Toc22 \h </w:instrText>
          </w:r>
          <w:r>
            <w:fldChar w:fldCharType="separate"/>
          </w:r>
          <w:r>
            <w:fldChar w:fldCharType="end"/>
          </w:r>
          <w:r>
            <w:fldChar w:fldCharType="end"/>
          </w:r>
        </w:p>
        <w:p>
          <w:pPr>
            <w:pStyle w:val="15"/>
            <w:tabs>
              <w:tab w:val="right" w:leader="dot" w:pos="8611"/>
            </w:tabs>
          </w:pPr>
          <w:r>
            <w:fldChar w:fldCharType="begin"/>
          </w:r>
          <w:r>
            <w:instrText xml:space="preserve"> HYPERLINK \l "_Toc23" \h </w:instrText>
          </w:r>
          <w:r>
            <w:fldChar w:fldCharType="separate"/>
          </w:r>
          <w:r>
            <w:t>1. 结构周期及振型方向(强刚)</w:t>
          </w:r>
          <w:r>
            <w:tab/>
          </w:r>
          <w:r>
            <w:fldChar w:fldCharType="begin"/>
          </w:r>
          <w:r>
            <w:instrText xml:space="preserve"> PAGEREF _Toc23 \h </w:instrText>
          </w:r>
          <w:r>
            <w:fldChar w:fldCharType="separate"/>
          </w:r>
          <w:r>
            <w:fldChar w:fldCharType="end"/>
          </w:r>
          <w:r>
            <w:fldChar w:fldCharType="end"/>
          </w:r>
        </w:p>
        <w:p>
          <w:pPr>
            <w:pStyle w:val="15"/>
            <w:tabs>
              <w:tab w:val="right" w:leader="dot" w:pos="8611"/>
            </w:tabs>
          </w:pPr>
          <w:r>
            <w:fldChar w:fldCharType="begin"/>
          </w:r>
          <w:r>
            <w:instrText xml:space="preserve"> HYPERLINK \l "_Toc24" \h </w:instrText>
          </w:r>
          <w:r>
            <w:fldChar w:fldCharType="separate"/>
          </w:r>
          <w:r>
            <w:t>2. 各地震方向参与振型的有效质量系数</w:t>
          </w:r>
          <w:r>
            <w:tab/>
          </w:r>
          <w:r>
            <w:fldChar w:fldCharType="begin"/>
          </w:r>
          <w:r>
            <w:instrText xml:space="preserve"> PAGEREF _Toc24 \h </w:instrText>
          </w:r>
          <w:r>
            <w:fldChar w:fldCharType="separate"/>
          </w:r>
          <w:r>
            <w:fldChar w:fldCharType="end"/>
          </w:r>
          <w:r>
            <w:fldChar w:fldCharType="end"/>
          </w:r>
        </w:p>
        <w:p>
          <w:pPr>
            <w:pStyle w:val="15"/>
            <w:tabs>
              <w:tab w:val="right" w:leader="dot" w:pos="8611"/>
            </w:tabs>
          </w:pPr>
          <w:r>
            <w:fldChar w:fldCharType="begin"/>
          </w:r>
          <w:r>
            <w:instrText xml:space="preserve"> HYPERLINK \l "_Toc25" \h </w:instrText>
          </w:r>
          <w:r>
            <w:fldChar w:fldCharType="separate"/>
          </w:r>
          <w:r>
            <w:t>3. 地震作用下结构剪重比及其调整</w:t>
          </w:r>
          <w:r>
            <w:tab/>
          </w:r>
          <w:r>
            <w:fldChar w:fldCharType="begin"/>
          </w:r>
          <w:r>
            <w:instrText xml:space="preserve"> PAGEREF _Toc25 \h </w:instrText>
          </w:r>
          <w:r>
            <w:fldChar w:fldCharType="separate"/>
          </w:r>
          <w:r>
            <w:fldChar w:fldCharType="end"/>
          </w:r>
          <w:r>
            <w:fldChar w:fldCharType="end"/>
          </w:r>
        </w:p>
        <w:p>
          <w:pPr>
            <w:pStyle w:val="15"/>
            <w:tabs>
              <w:tab w:val="right" w:leader="dot" w:pos="8611"/>
            </w:tabs>
          </w:pPr>
          <w:r>
            <w:fldChar w:fldCharType="begin"/>
          </w:r>
          <w:r>
            <w:instrText xml:space="preserve"> HYPERLINK \l "_Toc26" \h </w:instrText>
          </w:r>
          <w:r>
            <w:fldChar w:fldCharType="separate"/>
          </w:r>
          <w:r>
            <w:t>4. 偶然偏心信息</w:t>
          </w:r>
          <w:r>
            <w:tab/>
          </w:r>
          <w:r>
            <w:fldChar w:fldCharType="begin"/>
          </w:r>
          <w:r>
            <w:instrText xml:space="preserve"> PAGEREF _Toc26 \h </w:instrText>
          </w:r>
          <w:r>
            <w:fldChar w:fldCharType="separate"/>
          </w:r>
          <w:r>
            <w:fldChar w:fldCharType="end"/>
          </w:r>
          <w:r>
            <w:fldChar w:fldCharType="end"/>
          </w:r>
        </w:p>
        <w:p>
          <w:pPr>
            <w:pStyle w:val="12"/>
            <w:tabs>
              <w:tab w:val="right" w:leader="dot" w:pos="8611"/>
            </w:tabs>
          </w:pPr>
          <w:r>
            <w:fldChar w:fldCharType="begin"/>
          </w:r>
          <w:r>
            <w:instrText xml:space="preserve"> HYPERLINK \l "_Toc27" \h </w:instrText>
          </w:r>
          <w:r>
            <w:fldChar w:fldCharType="separate"/>
          </w:r>
          <w:r>
            <w:t>十一. 变形验算</w:t>
          </w:r>
          <w:r>
            <w:tab/>
          </w:r>
          <w:r>
            <w:fldChar w:fldCharType="begin"/>
          </w:r>
          <w:r>
            <w:instrText xml:space="preserve"> PAGEREF _Toc27 \h </w:instrText>
          </w:r>
          <w:r>
            <w:fldChar w:fldCharType="separate"/>
          </w:r>
          <w:r>
            <w:fldChar w:fldCharType="end"/>
          </w:r>
          <w:r>
            <w:fldChar w:fldCharType="end"/>
          </w:r>
        </w:p>
        <w:p>
          <w:pPr>
            <w:pStyle w:val="15"/>
            <w:tabs>
              <w:tab w:val="right" w:leader="dot" w:pos="8611"/>
            </w:tabs>
          </w:pPr>
          <w:r>
            <w:fldChar w:fldCharType="begin"/>
          </w:r>
          <w:r>
            <w:instrText xml:space="preserve"> HYPERLINK \l "_Toc28" \h </w:instrText>
          </w:r>
          <w:r>
            <w:fldChar w:fldCharType="separate"/>
          </w:r>
          <w:r>
            <w:t>1. 普通结构楼层位移指标统计(强刚)</w:t>
          </w:r>
          <w:r>
            <w:tab/>
          </w:r>
          <w:r>
            <w:fldChar w:fldCharType="begin"/>
          </w:r>
          <w:r>
            <w:instrText xml:space="preserve"> PAGEREF _Toc28 \h </w:instrText>
          </w:r>
          <w:r>
            <w:fldChar w:fldCharType="separate"/>
          </w:r>
          <w:r>
            <w:fldChar w:fldCharType="end"/>
          </w:r>
          <w:r>
            <w:fldChar w:fldCharType="end"/>
          </w:r>
        </w:p>
        <w:p>
          <w:pPr>
            <w:pStyle w:val="12"/>
            <w:tabs>
              <w:tab w:val="right" w:leader="dot" w:pos="8611"/>
            </w:tabs>
          </w:pPr>
          <w:r>
            <w:fldChar w:fldCharType="begin"/>
          </w:r>
          <w:r>
            <w:instrText xml:space="preserve"> HYPERLINK \l "_Toc29" \h </w:instrText>
          </w:r>
          <w:r>
            <w:fldChar w:fldCharType="separate"/>
          </w:r>
          <w:r>
            <w:t>十二. 结构顶点风振加速度</w:t>
          </w:r>
          <w:r>
            <w:tab/>
          </w:r>
          <w:r>
            <w:fldChar w:fldCharType="begin"/>
          </w:r>
          <w:r>
            <w:instrText xml:space="preserve"> PAGEREF _Toc29 \h </w:instrText>
          </w:r>
          <w:r>
            <w:fldChar w:fldCharType="separate"/>
          </w:r>
          <w:r>
            <w:fldChar w:fldCharType="end"/>
          </w:r>
          <w:r>
            <w:fldChar w:fldCharType="end"/>
          </w:r>
        </w:p>
        <w:p>
          <w:pPr>
            <w:pStyle w:val="12"/>
            <w:tabs>
              <w:tab w:val="right" w:leader="dot" w:pos="8611"/>
            </w:tabs>
          </w:pPr>
          <w:r>
            <w:fldChar w:fldCharType="begin"/>
          </w:r>
          <w:r>
            <w:instrText xml:space="preserve"> HYPERLINK \l "_Toc30" \h </w:instrText>
          </w:r>
          <w:r>
            <w:fldChar w:fldCharType="separate"/>
          </w:r>
          <w:r>
            <w:t>十三. 抗倾覆和稳定验算</w:t>
          </w:r>
          <w:r>
            <w:tab/>
          </w:r>
          <w:r>
            <w:fldChar w:fldCharType="begin"/>
          </w:r>
          <w:r>
            <w:instrText xml:space="preserve"> PAGEREF _Toc30 \h </w:instrText>
          </w:r>
          <w:r>
            <w:fldChar w:fldCharType="separate"/>
          </w:r>
          <w:r>
            <w:fldChar w:fldCharType="end"/>
          </w:r>
          <w:r>
            <w:fldChar w:fldCharType="end"/>
          </w:r>
        </w:p>
        <w:p>
          <w:pPr>
            <w:pStyle w:val="15"/>
            <w:tabs>
              <w:tab w:val="right" w:leader="dot" w:pos="8611"/>
            </w:tabs>
          </w:pPr>
          <w:r>
            <w:fldChar w:fldCharType="begin"/>
          </w:r>
          <w:r>
            <w:instrText xml:space="preserve"> HYPERLINK \l "_Toc31" \h </w:instrText>
          </w:r>
          <w:r>
            <w:fldChar w:fldCharType="separate"/>
          </w:r>
          <w:r>
            <w:t>1. 抗倾覆验算</w:t>
          </w:r>
          <w:r>
            <w:tab/>
          </w:r>
          <w:r>
            <w:fldChar w:fldCharType="begin"/>
          </w:r>
          <w:r>
            <w:instrText xml:space="preserve"> PAGEREF _Toc31 \h </w:instrText>
          </w:r>
          <w:r>
            <w:fldChar w:fldCharType="separate"/>
          </w:r>
          <w:r>
            <w:fldChar w:fldCharType="end"/>
          </w:r>
          <w:r>
            <w:fldChar w:fldCharType="end"/>
          </w:r>
        </w:p>
        <w:p>
          <w:pPr>
            <w:pStyle w:val="15"/>
            <w:tabs>
              <w:tab w:val="right" w:leader="dot" w:pos="8611"/>
            </w:tabs>
          </w:pPr>
          <w:r>
            <w:fldChar w:fldCharType="begin"/>
          </w:r>
          <w:r>
            <w:instrText xml:space="preserve"> HYPERLINK \l "_Toc32" \h </w:instrText>
          </w:r>
          <w:r>
            <w:fldChar w:fldCharType="separate"/>
          </w:r>
          <w:r>
            <w:t>2. 整体稳定刚重比验算</w:t>
          </w:r>
          <w:r>
            <w:tab/>
          </w:r>
          <w:r>
            <w:fldChar w:fldCharType="begin"/>
          </w:r>
          <w:r>
            <w:instrText xml:space="preserve"> PAGEREF _Toc32 \h </w:instrText>
          </w:r>
          <w:r>
            <w:fldChar w:fldCharType="separate"/>
          </w:r>
          <w:r>
            <w:fldChar w:fldCharType="end"/>
          </w:r>
          <w:r>
            <w:fldChar w:fldCharType="end"/>
          </w:r>
        </w:p>
        <w:p>
          <w:pPr>
            <w:pStyle w:val="15"/>
            <w:tabs>
              <w:tab w:val="right" w:leader="dot" w:pos="8611"/>
            </w:tabs>
          </w:pPr>
          <w:r>
            <w:fldChar w:fldCharType="begin"/>
          </w:r>
          <w:r>
            <w:instrText xml:space="preserve"> HYPERLINK \l "_Toc33" \h </w:instrText>
          </w:r>
          <w:r>
            <w:fldChar w:fldCharType="separate"/>
          </w:r>
          <w:r>
            <w:t>3. 二阶效应系数及内力放大</w:t>
          </w:r>
          <w:r>
            <w:tab/>
          </w:r>
          <w:r>
            <w:fldChar w:fldCharType="begin"/>
          </w:r>
          <w:r>
            <w:instrText xml:space="preserve"> PAGEREF _Toc33 \h </w:instrText>
          </w:r>
          <w:r>
            <w:fldChar w:fldCharType="separate"/>
          </w:r>
          <w:r>
            <w:fldChar w:fldCharType="end"/>
          </w:r>
          <w:r>
            <w:fldChar w:fldCharType="end"/>
          </w:r>
        </w:p>
        <w:p>
          <w:r>
            <w:fldChar w:fldCharType="end"/>
          </w:r>
        </w:p>
      </w:sdtContent>
    </w:sdt>
    <w:p>
      <w:r>
        <w:br w:type="page"/>
      </w:r>
    </w:p>
    <w:p>
      <w:pPr>
        <w:pStyle w:val="16"/>
        <w:jc w:val="left"/>
      </w:pPr>
      <w:bookmarkStart w:id="2" w:name="_Toc0"/>
      <w:r>
        <w:rPr>
          <w:rFonts w:hint="eastAsia" w:ascii="宋体" w:eastAsia="宋体"/>
          <w:b/>
          <w:color w:val="000000"/>
          <w:sz w:val="32"/>
          <w:szCs w:val="32"/>
          <w:shd w:val="clear" w:color="auto" w:fill="FFFFFF"/>
        </w:rPr>
        <w:t>一. 设计依据信息</w:t>
      </w:r>
    </w:p>
    <w:p>
      <w:pPr>
        <w:jc w:val="left"/>
      </w:pPr>
      <w:r>
        <w:rPr>
          <w:rFonts w:hint="eastAsia" w:ascii="宋体" w:eastAsia="宋体"/>
          <w:b w:val="0"/>
          <w:color w:val="000000"/>
          <w:sz w:val="24"/>
          <w:szCs w:val="24"/>
          <w:shd w:val="clear" w:color="auto" w:fill="FFFFFF"/>
        </w:rPr>
        <w:t>本工程按照如下规范、规程进行设计:</w:t>
      </w:r>
    </w:p>
    <w:p>
      <w:pPr>
        <w:jc w:val="left"/>
      </w:pPr>
      <w:r>
        <w:rPr>
          <w:rFonts w:hint="eastAsia" w:ascii="宋体" w:eastAsia="宋体"/>
          <w:b w:val="0"/>
          <w:color w:val="000000"/>
          <w:sz w:val="24"/>
          <w:szCs w:val="24"/>
          <w:shd w:val="clear" w:color="auto" w:fill="FFFFFF"/>
        </w:rPr>
        <w:t>1. 《混凝土结构设计规范》(GB50010-2010)(2015年版)</w:t>
      </w:r>
    </w:p>
    <w:p>
      <w:pPr>
        <w:jc w:val="left"/>
      </w:pPr>
      <w:r>
        <w:rPr>
          <w:rFonts w:hint="eastAsia" w:ascii="宋体" w:eastAsia="宋体"/>
          <w:b w:val="0"/>
          <w:color w:val="000000"/>
          <w:sz w:val="24"/>
          <w:szCs w:val="24"/>
          <w:shd w:val="clear" w:color="auto" w:fill="FFFFFF"/>
        </w:rPr>
        <w:t>2. 《钢结构设计标准》(GB50017-2017)</w:t>
      </w:r>
    </w:p>
    <w:p>
      <w:pPr>
        <w:jc w:val="left"/>
      </w:pPr>
      <w:r>
        <w:rPr>
          <w:rFonts w:hint="eastAsia" w:ascii="宋体" w:eastAsia="宋体"/>
          <w:b w:val="0"/>
          <w:color w:val="000000"/>
          <w:sz w:val="24"/>
          <w:szCs w:val="24"/>
          <w:shd w:val="clear" w:color="auto" w:fill="FFFFFF"/>
        </w:rPr>
        <w:t>3. 《建筑抗震设计规范》(GB50011-2010)(2016年版)</w:t>
      </w:r>
    </w:p>
    <w:p>
      <w:pPr>
        <w:jc w:val="left"/>
      </w:pPr>
      <w:r>
        <w:rPr>
          <w:rFonts w:hint="eastAsia" w:ascii="宋体" w:eastAsia="宋体"/>
          <w:b w:val="0"/>
          <w:color w:val="000000"/>
          <w:sz w:val="24"/>
          <w:szCs w:val="24"/>
          <w:shd w:val="clear" w:color="auto" w:fill="FFFFFF"/>
        </w:rPr>
        <w:t>4. 《建筑结构荷载规范》(GB50009-2012)</w:t>
      </w:r>
    </w:p>
    <w:p>
      <w:pPr>
        <w:jc w:val="left"/>
      </w:pPr>
      <w:r>
        <w:rPr>
          <w:rFonts w:hint="eastAsia" w:ascii="宋体" w:eastAsia="宋体"/>
          <w:b w:val="0"/>
          <w:color w:val="000000"/>
          <w:sz w:val="24"/>
          <w:szCs w:val="24"/>
          <w:shd w:val="clear" w:color="auto" w:fill="FFFFFF"/>
        </w:rPr>
        <w:t>5. 《人民防空地下室设计规范》(GB50038-2005)</w:t>
      </w:r>
    </w:p>
    <w:p>
      <w:pPr>
        <w:jc w:val="left"/>
      </w:pPr>
      <w:r>
        <w:rPr>
          <w:rFonts w:hint="eastAsia" w:ascii="宋体" w:eastAsia="宋体"/>
          <w:b w:val="0"/>
          <w:color w:val="000000"/>
          <w:sz w:val="24"/>
          <w:szCs w:val="24"/>
          <w:shd w:val="clear" w:color="auto" w:fill="FFFFFF"/>
        </w:rPr>
        <w:t>6. 《高层建筑混凝土结构技术规程》(JGJ3-2010)</w:t>
      </w:r>
    </w:p>
    <w:p>
      <w:pPr>
        <w:jc w:val="left"/>
      </w:pPr>
      <w:r>
        <w:rPr>
          <w:rFonts w:hint="eastAsia" w:ascii="宋体" w:eastAsia="宋体"/>
          <w:b w:val="0"/>
          <w:color w:val="000000"/>
          <w:sz w:val="24"/>
          <w:szCs w:val="24"/>
          <w:shd w:val="clear" w:color="auto" w:fill="FFFFFF"/>
        </w:rPr>
        <w:t>7. 《混凝土异形柱结构技术规程》(JGJ149-2017)</w:t>
      </w:r>
    </w:p>
    <w:p>
      <w:pPr>
        <w:jc w:val="left"/>
      </w:pPr>
      <w:r>
        <w:rPr>
          <w:rFonts w:hint="eastAsia" w:ascii="宋体" w:eastAsia="宋体"/>
          <w:b w:val="0"/>
          <w:color w:val="000000"/>
          <w:sz w:val="24"/>
          <w:szCs w:val="24"/>
          <w:shd w:val="clear" w:color="auto" w:fill="FFFFFF"/>
        </w:rPr>
        <w:t>8. 《钢板剪力墙技术规程》(JGJ/T 380-2015)</w:t>
      </w:r>
    </w:p>
    <w:p>
      <w:pPr>
        <w:jc w:val="left"/>
      </w:pPr>
      <w:r>
        <w:rPr>
          <w:rFonts w:hint="eastAsia" w:ascii="宋体" w:eastAsia="宋体"/>
          <w:b w:val="0"/>
          <w:color w:val="000000"/>
          <w:sz w:val="24"/>
          <w:szCs w:val="24"/>
          <w:shd w:val="clear" w:color="auto" w:fill="FFFFFF"/>
        </w:rPr>
        <w:t>9. 《门式刚架轻型房屋钢结构技术规范》(GB51022-2015)</w:t>
      </w:r>
    </w:p>
    <w:p>
      <w:pPr>
        <w:jc w:val="left"/>
      </w:pPr>
      <w:r>
        <w:rPr>
          <w:rFonts w:hint="eastAsia" w:ascii="宋体" w:eastAsia="宋体"/>
          <w:b w:val="0"/>
          <w:color w:val="000000"/>
          <w:sz w:val="24"/>
          <w:szCs w:val="24"/>
          <w:shd w:val="clear" w:color="auto" w:fill="FFFFFF"/>
        </w:rPr>
        <w:t>10. 《建筑结构可靠性设计统一标准》(GB50068-2018)</w:t>
      </w:r>
    </w:p>
    <w:p>
      <w:pPr>
        <w:jc w:val="left"/>
      </w:pPr>
      <w:r>
        <w:rPr>
          <w:rFonts w:hint="eastAsia" w:ascii="宋体" w:eastAsia="宋体"/>
          <w:b w:val="0"/>
          <w:color w:val="000000"/>
          <w:sz w:val="24"/>
          <w:szCs w:val="24"/>
          <w:shd w:val="clear" w:color="auto" w:fill="FFFFFF"/>
        </w:rPr>
        <w:t>11. 《钢管混凝土结构设计与施工规程》(CECS 28-2012)</w:t>
      </w:r>
    </w:p>
    <w:p>
      <w:pPr>
        <w:jc w:val="left"/>
      </w:pPr>
      <w:r>
        <w:rPr>
          <w:rFonts w:hint="eastAsia" w:ascii="宋体" w:eastAsia="宋体"/>
          <w:b w:val="0"/>
          <w:color w:val="000000"/>
          <w:sz w:val="24"/>
          <w:szCs w:val="24"/>
          <w:shd w:val="clear" w:color="auto" w:fill="FFFFFF"/>
        </w:rPr>
        <w:t>12. 《组合结构设计规范》(JGJ138-2016)</w:t>
      </w:r>
    </w:p>
    <w:p>
      <w:pPr>
        <w:jc w:val="left"/>
      </w:pPr>
      <w:r>
        <w:rPr>
          <w:rFonts w:hint="eastAsia" w:ascii="宋体" w:eastAsia="宋体"/>
          <w:b w:val="0"/>
          <w:color w:val="000000"/>
          <w:sz w:val="24"/>
          <w:szCs w:val="24"/>
          <w:shd w:val="clear" w:color="auto" w:fill="FFFFFF"/>
        </w:rPr>
        <w:t>13. 《高层民用建筑钢结构技术规程》(JGJ99-2015)</w:t>
      </w:r>
    </w:p>
    <w:p>
      <w:pPr>
        <w:jc w:val="left"/>
      </w:pPr>
      <w:r>
        <w:rPr>
          <w:rFonts w:hint="eastAsia" w:ascii="宋体" w:eastAsia="宋体"/>
          <w:b w:val="0"/>
          <w:color w:val="000000"/>
          <w:sz w:val="24"/>
          <w:szCs w:val="24"/>
          <w:shd w:val="clear" w:color="auto" w:fill="FFFFFF"/>
        </w:rPr>
        <w:t>14. 《工程结构通用规范》(GB55001-2021)</w:t>
      </w:r>
    </w:p>
    <w:p>
      <w:pPr>
        <w:jc w:val="left"/>
      </w:pPr>
      <w:r>
        <w:rPr>
          <w:rFonts w:hint="eastAsia" w:ascii="宋体" w:eastAsia="宋体"/>
          <w:b w:val="0"/>
          <w:color w:val="000000"/>
          <w:sz w:val="24"/>
          <w:szCs w:val="24"/>
          <w:shd w:val="clear" w:color="auto" w:fill="FFFFFF"/>
        </w:rPr>
        <w:t>15. 《建筑与市政工程抗震通用规范》(GB55002-2021)</w:t>
      </w:r>
    </w:p>
    <w:p>
      <w:pPr>
        <w:jc w:val="left"/>
      </w:pPr>
      <w:r>
        <w:rPr>
          <w:rFonts w:hint="eastAsia" w:ascii="宋体" w:eastAsia="宋体"/>
          <w:b w:val="0"/>
          <w:color w:val="000000"/>
          <w:sz w:val="24"/>
          <w:szCs w:val="24"/>
          <w:shd w:val="clear" w:color="auto" w:fill="FFFFFF"/>
        </w:rPr>
        <w:t>16. 《钢结构通用规范》(GB55006-2021)</w:t>
      </w:r>
    </w:p>
    <w:p>
      <w:pPr>
        <w:jc w:val="left"/>
      </w:pPr>
      <w:r>
        <w:rPr>
          <w:rFonts w:hint="eastAsia" w:ascii="宋体" w:eastAsia="宋体"/>
          <w:b w:val="0"/>
          <w:color w:val="000000"/>
          <w:sz w:val="24"/>
          <w:szCs w:val="24"/>
          <w:shd w:val="clear" w:color="auto" w:fill="FFFFFF"/>
        </w:rPr>
        <w:t>17. 《混凝土结构通用规范》(GB55008-2021)</w:t>
      </w:r>
    </w:p>
    <w:p>
      <w:pPr>
        <w:jc w:val="left"/>
      </w:pPr>
    </w:p>
    <w:p>
      <w:pPr>
        <w:pStyle w:val="16"/>
        <w:jc w:val="center"/>
      </w:pPr>
      <w:bookmarkStart w:id="3" w:name="_Toc1"/>
      <w:r>
        <w:rPr>
          <w:rFonts w:hint="eastAsia" w:ascii="宋体" w:eastAsia="宋体"/>
          <w:b/>
          <w:color w:val="000000"/>
          <w:sz w:val="32"/>
          <w:szCs w:val="32"/>
          <w:shd w:val="clear" w:color="auto" w:fill="FFFFFF"/>
        </w:rPr>
        <w:t>二. 计算软件信息</w:t>
      </w:r>
      <w:bookmarkEnd w:id="3"/>
    </w:p>
    <w:p>
      <w:pPr>
        <w:jc w:val="left"/>
      </w:pPr>
      <w:r>
        <w:rPr>
          <w:rFonts w:hint="eastAsia" w:ascii="宋体" w:eastAsia="宋体"/>
          <w:b w:val="0"/>
          <w:color w:val="000000"/>
          <w:sz w:val="24"/>
          <w:szCs w:val="24"/>
          <w:shd w:val="clear" w:color="auto" w:fill="FFFFFF"/>
        </w:rPr>
        <w:t>本工程计算软件为中国建筑科学研究院北京构力科技有限公司的SATWE2021 V1.5.1版。</w:t>
      </w:r>
    </w:p>
    <w:p>
      <w:pPr>
        <w:jc w:val="left"/>
      </w:pPr>
      <w:r>
        <w:rPr>
          <w:rFonts w:hint="eastAsia" w:ascii="宋体" w:eastAsia="宋体"/>
          <w:b w:val="0"/>
          <w:color w:val="000000"/>
          <w:sz w:val="24"/>
          <w:szCs w:val="24"/>
          <w:shd w:val="clear" w:color="auto" w:fill="FFFFFF"/>
        </w:rPr>
        <w:t>计算日期为2024年9月23日9时33分7秒。</w:t>
      </w:r>
    </w:p>
    <w:p>
      <w:pPr>
        <w:jc w:val="left"/>
      </w:pPr>
    </w:p>
    <w:p>
      <w:pPr>
        <w:pStyle w:val="16"/>
        <w:jc w:val="left"/>
      </w:pPr>
      <w:bookmarkStart w:id="4" w:name="_Toc2"/>
      <w:r>
        <w:rPr>
          <w:rFonts w:hint="eastAsia" w:ascii="宋体" w:eastAsia="宋体"/>
          <w:b/>
          <w:color w:val="000000"/>
          <w:sz w:val="32"/>
          <w:szCs w:val="32"/>
          <w:shd w:val="clear" w:color="auto" w:fill="FFFFFF"/>
        </w:rPr>
        <w:t>三. 项目基本信息</w:t>
      </w:r>
      <w:bookmarkEnd w:id="4"/>
    </w:p>
    <w:p>
      <w:pPr>
        <w:spacing w:beforeLines="113" w:afterLines="113" w:line="113" w:lineRule="auto"/>
        <w:jc w:val="center"/>
      </w:pPr>
      <w:r>
        <w:rPr>
          <w:rFonts w:hint="eastAsia" w:ascii="黑体" w:eastAsia="黑体"/>
          <w:b/>
          <w:color w:val="000000"/>
          <w:sz w:val="26"/>
          <w:szCs w:val="26"/>
          <w:shd w:val="clear" w:color="auto" w:fill="FFFFFF"/>
        </w:rPr>
        <w:t>表3-1 项目基本信息表</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21"/>
        <w:gridCol w:w="1814"/>
        <w:gridCol w:w="1814"/>
        <w:gridCol w:w="907"/>
        <w:gridCol w:w="1816"/>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21"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类型</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计算值</w:t>
            </w:r>
          </w:p>
        </w:tc>
        <w:tc>
          <w:tcPr>
            <w:tcW w:w="2721" w:type="dxa"/>
            <w:gridSpan w:val="2"/>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类型</w:t>
            </w:r>
          </w:p>
        </w:tc>
        <w:tc>
          <w:tcPr>
            <w:tcW w:w="181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计算值</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pPr>
              <w:jc w:val="center"/>
            </w:pPr>
            <w:r>
              <w:rPr>
                <w:rFonts w:hint="eastAsia" w:ascii="宋体" w:eastAsia="宋体"/>
                <w:b w:val="0"/>
                <w:color w:val="000000"/>
                <w:sz w:val="24"/>
                <w:szCs w:val="24"/>
                <w:shd w:val="clear" w:color="auto" w:fill="FFFFFF"/>
              </w:rPr>
              <w:t>建设地点</w:t>
            </w:r>
          </w:p>
        </w:tc>
        <w:tc>
          <w:tcPr>
            <w:tcW w:w="1814" w:type="dxa"/>
            <w:shd w:val="clear" w:color="auto" w:fill="FFFFFF"/>
            <w:vAlign w:val="center"/>
          </w:tcPr>
          <w:p>
            <w:pPr>
              <w:jc w:val="center"/>
            </w:pPr>
          </w:p>
        </w:tc>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建筑功能</w:t>
            </w:r>
          </w:p>
        </w:tc>
        <w:tc>
          <w:tcPr>
            <w:tcW w:w="1814"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pPr>
              <w:jc w:val="center"/>
            </w:pPr>
            <w:r>
              <w:rPr>
                <w:rFonts w:hint="eastAsia" w:ascii="宋体" w:eastAsia="宋体"/>
                <w:b w:val="0"/>
                <w:color w:val="000000"/>
                <w:sz w:val="24"/>
                <w:szCs w:val="24"/>
                <w:shd w:val="clear" w:color="auto" w:fill="FFFFFF"/>
              </w:rPr>
              <w:t>建筑面积（m^2）</w:t>
            </w:r>
          </w:p>
        </w:tc>
        <w:tc>
          <w:tcPr>
            <w:tcW w:w="1814" w:type="dxa"/>
            <w:shd w:val="clear" w:color="auto" w:fill="FFFFFF"/>
            <w:vAlign w:val="center"/>
          </w:tcPr>
          <w:p>
            <w:pPr>
              <w:jc w:val="center"/>
            </w:pPr>
          </w:p>
        </w:tc>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设计工作年限</w:t>
            </w:r>
          </w:p>
        </w:tc>
        <w:tc>
          <w:tcPr>
            <w:tcW w:w="1814"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pPr>
              <w:jc w:val="center"/>
            </w:pPr>
            <w:r>
              <w:rPr>
                <w:rFonts w:hint="eastAsia" w:ascii="宋体" w:eastAsia="宋体"/>
                <w:b w:val="0"/>
                <w:color w:val="000000"/>
                <w:sz w:val="24"/>
                <w:szCs w:val="24"/>
                <w:shd w:val="clear" w:color="auto" w:fill="FFFFFF"/>
              </w:rPr>
              <w:t>结构高度（m）</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21.300</w:t>
            </w:r>
          </w:p>
        </w:tc>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嵌固端层号(层底嵌固)</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pPr>
              <w:jc w:val="center"/>
            </w:pPr>
            <w:r>
              <w:rPr>
                <w:rFonts w:hint="eastAsia" w:ascii="宋体" w:eastAsia="宋体"/>
                <w:b w:val="0"/>
                <w:color w:val="000000"/>
                <w:sz w:val="24"/>
                <w:szCs w:val="24"/>
                <w:shd w:val="clear" w:color="auto" w:fill="FFFFFF"/>
              </w:rPr>
              <w:t>地上/地下层数</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5/1</w:t>
            </w:r>
          </w:p>
        </w:tc>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结构体系</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框架结构</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pPr>
              <w:jc w:val="center"/>
            </w:pPr>
            <w:r>
              <w:rPr>
                <w:rFonts w:hint="eastAsia" w:ascii="宋体" w:eastAsia="宋体"/>
                <w:b w:val="0"/>
                <w:color w:val="000000"/>
                <w:sz w:val="24"/>
                <w:szCs w:val="24"/>
                <w:shd w:val="clear" w:color="auto" w:fill="FFFFFF"/>
              </w:rPr>
              <w:t>地面粗糙度</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B</w:t>
            </w:r>
          </w:p>
        </w:tc>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基本风压（kN/m^2）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0.40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pPr>
              <w:jc w:val="center"/>
            </w:pPr>
            <w:r>
              <w:rPr>
                <w:rFonts w:hint="eastAsia" w:ascii="宋体" w:eastAsia="宋体"/>
                <w:b w:val="0"/>
                <w:color w:val="000000"/>
                <w:sz w:val="24"/>
                <w:szCs w:val="24"/>
                <w:shd w:val="clear" w:color="auto" w:fill="FFFFFF"/>
              </w:rPr>
              <w:t>抗震设防类别</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丙类</w:t>
            </w:r>
          </w:p>
        </w:tc>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地震分组</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第一组</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pPr>
              <w:jc w:val="center"/>
            </w:pPr>
            <w:r>
              <w:rPr>
                <w:rFonts w:hint="eastAsia" w:ascii="宋体" w:eastAsia="宋体"/>
                <w:b w:val="0"/>
                <w:color w:val="000000"/>
                <w:sz w:val="24"/>
                <w:szCs w:val="24"/>
                <w:shd w:val="clear" w:color="auto" w:fill="FFFFFF"/>
              </w:rPr>
              <w:t>地震设防烈度</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7（0.15g）</w:t>
            </w:r>
          </w:p>
        </w:tc>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场地类别</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III类</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pPr>
              <w:jc w:val="center"/>
            </w:pPr>
            <w:r>
              <w:rPr>
                <w:rFonts w:hint="eastAsia" w:ascii="宋体" w:eastAsia="宋体"/>
                <w:b w:val="0"/>
                <w:color w:val="000000"/>
                <w:sz w:val="24"/>
                <w:szCs w:val="24"/>
                <w:shd w:val="clear" w:color="auto" w:fill="FFFFFF"/>
              </w:rPr>
              <w:t>场地特征周期（s）</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0.45</w:t>
            </w:r>
          </w:p>
        </w:tc>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最大地震影响系数</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0.1625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pPr>
              <w:jc w:val="center"/>
            </w:pPr>
            <w:r>
              <w:rPr>
                <w:rFonts w:hint="eastAsia" w:ascii="宋体" w:eastAsia="宋体"/>
                <w:b w:val="0"/>
                <w:color w:val="000000"/>
                <w:sz w:val="24"/>
                <w:szCs w:val="24"/>
                <w:shd w:val="clear" w:color="auto" w:fill="FFFFFF"/>
              </w:rPr>
              <w:t>结构阻尼比（%）</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5.00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抗震等级</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框架</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  三级</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pPr>
              <w:jc w:val="center"/>
            </w:pPr>
            <w:r>
              <w:rPr>
                <w:rFonts w:hint="eastAsia" w:ascii="宋体" w:eastAsia="宋体"/>
                <w:b w:val="0"/>
                <w:color w:val="000000"/>
                <w:sz w:val="24"/>
                <w:szCs w:val="24"/>
                <w:shd w:val="clear" w:color="auto" w:fill="FFFFFF"/>
              </w:rPr>
              <w:t>结构重要性系数</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底部加强区层号</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1,1,1-2,2,2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1" w:type="dxa"/>
            <w:shd w:val="clear" w:color="auto" w:fill="FFFFFF"/>
            <w:vAlign w:val="center"/>
          </w:tcPr>
          <w:p>
            <w:pPr>
              <w:jc w:val="center"/>
            </w:pPr>
            <w:r>
              <w:rPr>
                <w:rFonts w:hint="eastAsia" w:ascii="宋体" w:eastAsia="宋体"/>
                <w:b w:val="0"/>
                <w:color w:val="000000"/>
                <w:sz w:val="24"/>
                <w:szCs w:val="24"/>
                <w:shd w:val="clear" w:color="auto" w:fill="FFFFFF"/>
              </w:rPr>
              <w:t>约束边缘构件范围</w:t>
            </w:r>
          </w:p>
        </w:tc>
        <w:tc>
          <w:tcPr>
            <w:tcW w:w="6350" w:type="dxa"/>
            <w:gridSpan w:val="4"/>
            <w:shd w:val="clear" w:color="auto" w:fill="FFFFFF"/>
            <w:vAlign w:val="center"/>
          </w:tcPr>
          <w:p>
            <w:pPr>
              <w:jc w:val="center"/>
            </w:pPr>
            <w:r>
              <w:rPr>
                <w:rFonts w:hint="eastAsia" w:ascii="宋体" w:eastAsia="宋体"/>
                <w:b w:val="0"/>
                <w:color w:val="000000"/>
                <w:sz w:val="24"/>
                <w:szCs w:val="24"/>
                <w:shd w:val="clear" w:color="auto" w:fill="FFFFFF"/>
              </w:rPr>
              <w:t>1,1,1-2,2,2-3,3,3</w:t>
            </w:r>
          </w:p>
        </w:tc>
      </w:tr>
    </w:tbl>
    <w:p>
      <w:pPr>
        <w:spacing w:beforeLines="113" w:afterLines="113" w:line="113" w:lineRule="auto"/>
        <w:jc w:val="left"/>
      </w:pPr>
    </w:p>
    <w:p>
      <w:pPr>
        <w:pStyle w:val="16"/>
        <w:jc w:val="left"/>
      </w:pPr>
      <w:bookmarkStart w:id="5" w:name="_Toc3"/>
      <w:r>
        <w:rPr>
          <w:rFonts w:hint="eastAsia" w:ascii="宋体" w:eastAsia="宋体"/>
          <w:b/>
          <w:color w:val="000000"/>
          <w:sz w:val="32"/>
          <w:szCs w:val="32"/>
          <w:shd w:val="clear" w:color="auto" w:fill="FFFFFF"/>
        </w:rPr>
        <w:t>四. 指标汇总信息</w:t>
      </w:r>
      <w:bookmarkEnd w:id="5"/>
    </w:p>
    <w:p>
      <w:pPr>
        <w:spacing w:beforeLines="113" w:afterLines="113" w:line="113" w:lineRule="auto"/>
        <w:jc w:val="center"/>
      </w:pPr>
      <w:r>
        <w:rPr>
          <w:rFonts w:hint="eastAsia" w:ascii="黑体" w:eastAsia="黑体"/>
          <w:b/>
          <w:color w:val="000000"/>
          <w:sz w:val="26"/>
          <w:szCs w:val="26"/>
          <w:shd w:val="clear" w:color="auto" w:fill="FFFFFF"/>
        </w:rPr>
        <w:t>表4-1 指标汇总</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097"/>
        <w:gridCol w:w="1110"/>
        <w:gridCol w:w="1108"/>
        <w:gridCol w:w="1296"/>
        <w:gridCol w:w="1122"/>
        <w:gridCol w:w="1108"/>
        <w:gridCol w:w="1108"/>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402" w:type="dxa"/>
            <w:gridSpan w:val="3"/>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计算结果</w:t>
            </w:r>
          </w:p>
        </w:tc>
        <w:tc>
          <w:tcPr>
            <w:tcW w:w="2268" w:type="dxa"/>
            <w:gridSpan w:val="2"/>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计算值</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规范(规程)限值</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判别</w:t>
            </w:r>
          </w:p>
        </w:tc>
        <w:tc>
          <w:tcPr>
            <w:tcW w:w="113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备注</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3"/>
            <w:shd w:val="clear" w:color="auto" w:fill="FFFFFF"/>
            <w:vAlign w:val="center"/>
          </w:tcPr>
          <w:p>
            <w:pPr>
              <w:jc w:val="center"/>
            </w:pPr>
            <w:r>
              <w:rPr>
                <w:rFonts w:hint="eastAsia" w:ascii="宋体" w:eastAsia="宋体"/>
                <w:b w:val="0"/>
                <w:color w:val="000000"/>
                <w:sz w:val="24"/>
                <w:szCs w:val="24"/>
                <w:shd w:val="clear" w:color="auto" w:fill="FFFFFF"/>
              </w:rPr>
              <w:t>结构总质量(t)</w:t>
            </w:r>
          </w:p>
        </w:tc>
        <w:tc>
          <w:tcPr>
            <w:tcW w:w="2268" w:type="dxa"/>
            <w:gridSpan w:val="2"/>
            <w:shd w:val="clear" w:color="auto" w:fill="FFFFFF"/>
            <w:vAlign w:val="center"/>
          </w:tcPr>
          <w:p>
            <w:pPr>
              <w:jc w:val="center"/>
            </w:pPr>
            <w:r>
              <w:rPr>
                <w:rFonts w:hint="eastAsia" w:ascii="宋体" w:eastAsia="宋体"/>
                <w:b w:val="0"/>
                <w:color w:val="000000"/>
                <w:sz w:val="24"/>
                <w:szCs w:val="24"/>
                <w:shd w:val="clear" w:color="auto" w:fill="FFFFFF"/>
              </w:rPr>
              <w:t>19101.16</w:t>
            </w: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楼层剪力/层间位移刚度比(强刚)</w:t>
            </w:r>
          </w:p>
        </w:tc>
        <w:tc>
          <w:tcPr>
            <w:tcW w:w="2268" w:type="dxa"/>
            <w:gridSpan w:val="2"/>
            <w:vMerge w:val="restart"/>
            <w:shd w:val="clear" w:color="auto" w:fill="FFFFFF"/>
            <w:vAlign w:val="center"/>
          </w:tcPr>
          <w:p>
            <w:pPr>
              <w:jc w:val="center"/>
            </w:pPr>
            <w:r>
              <w:rPr>
                <w:rFonts w:hint="eastAsia" w:ascii="宋体" w:eastAsia="宋体"/>
                <w:b w:val="0"/>
                <w:color w:val="000000"/>
                <w:sz w:val="24"/>
                <w:szCs w:val="24"/>
                <w:shd w:val="clear" w:color="auto" w:fill="FFFFFF"/>
              </w:rPr>
              <w:t>与相邻上一层侧向刚度的0.7倍或相邻上三层平均值的0.8的比值</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&gt;= 1.00</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6层 1塔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tcPr>
          <w:p>
            <w:pPr>
              <w:jc w:val="left"/>
            </w:pPr>
          </w:p>
        </w:tc>
        <w:tc>
          <w:tcPr>
            <w:tcW w:w="2268" w:type="dxa"/>
            <w:gridSpan w:val="2"/>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p>
        </w:tc>
        <w:tc>
          <w:tcPr>
            <w:tcW w:w="2268" w:type="dxa"/>
            <w:gridSpan w:val="2"/>
            <w:vMerge w:val="continue"/>
            <w:shd w:val="clear" w:color="auto" w:fill="FFFFFF"/>
            <w:vAlign w:val="center"/>
          </w:tcPr>
          <w:p>
            <w:pPr>
              <w:jc w:val="center"/>
            </w:pP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34" w:type="dxa"/>
            <w:vMerge w:val="continue"/>
            <w:shd w:val="clear" w:color="auto" w:fill="FFFFFF"/>
            <w:vAlign w:val="center"/>
          </w:tcPr>
          <w:p>
            <w:pPr>
              <w:jc w:val="center"/>
            </w:pP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6层 1塔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tcPr>
          <w:p>
            <w:pPr>
              <w:jc w:val="left"/>
            </w:pPr>
          </w:p>
        </w:tc>
        <w:tc>
          <w:tcPr>
            <w:tcW w:w="2268" w:type="dxa"/>
            <w:gridSpan w:val="2"/>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3"/>
            <w:vMerge w:val="restart"/>
            <w:shd w:val="clear" w:color="auto" w:fill="FFFFFF"/>
            <w:vAlign w:val="center"/>
          </w:tcPr>
          <w:p>
            <w:pPr>
              <w:jc w:val="center"/>
            </w:pPr>
            <w:r>
              <w:rPr>
                <w:rFonts w:hint="eastAsia" w:ascii="宋体" w:eastAsia="宋体"/>
                <w:b w:val="0"/>
                <w:color w:val="000000"/>
                <w:sz w:val="24"/>
                <w:szCs w:val="24"/>
                <w:shd w:val="clear" w:color="auto" w:fill="FFFFFF"/>
              </w:rPr>
              <w:t>有效质量系数</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93.12%</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&gt; 90%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vMerge w:val="restart"/>
            <w:shd w:val="clear" w:color="auto" w:fill="FFFFFF"/>
          </w:tcPr>
          <w:p>
            <w:pPr>
              <w:jc w:val="left"/>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3"/>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94.22%</w:t>
            </w:r>
          </w:p>
        </w:tc>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&gt; 90%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vMerge w:val="continue"/>
            <w:shd w:val="clear" w:color="auto" w:fill="FFFFFF"/>
          </w:tcPr>
          <w:p>
            <w:pPr>
              <w:jc w:val="left"/>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vMerge w:val="restart"/>
            <w:shd w:val="clear" w:color="auto" w:fill="FFFFFF"/>
            <w:vAlign w:val="center"/>
          </w:tcPr>
          <w:p>
            <w:pPr>
              <w:jc w:val="center"/>
            </w:pPr>
            <w:r>
              <w:rPr>
                <w:rFonts w:hint="eastAsia" w:ascii="宋体" w:eastAsia="宋体"/>
                <w:b w:val="0"/>
                <w:color w:val="000000"/>
                <w:sz w:val="24"/>
                <w:szCs w:val="24"/>
                <w:shd w:val="clear" w:color="auto" w:fill="FFFFFF"/>
              </w:rPr>
              <w:t>地震底部剪重比</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调整前</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7.05% </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&gt;= 3.25%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2层 2塔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vMerge w:val="continue"/>
            <w:shd w:val="clear" w:color="auto" w:fill="FFFFFF"/>
            <w:vAlign w:val="center"/>
          </w:tcPr>
          <w:p>
            <w:pPr>
              <w:jc w:val="center"/>
            </w:pPr>
          </w:p>
        </w:tc>
        <w:tc>
          <w:tcPr>
            <w:tcW w:w="1134" w:type="dxa"/>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6.85%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&gt;= 3.25%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2层 2塔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3"/>
            <w:vMerge w:val="restart"/>
            <w:shd w:val="clear" w:color="auto" w:fill="FFFFFF"/>
            <w:vAlign w:val="center"/>
          </w:tcPr>
          <w:p>
            <w:pPr>
              <w:jc w:val="center"/>
            </w:pPr>
            <w:r>
              <w:rPr>
                <w:rFonts w:hint="eastAsia" w:ascii="宋体" w:eastAsia="宋体"/>
                <w:b w:val="0"/>
                <w:color w:val="000000"/>
                <w:sz w:val="24"/>
                <w:szCs w:val="24"/>
                <w:shd w:val="clear" w:color="auto" w:fill="FFFFFF"/>
              </w:rPr>
              <w:t>结构自振周期[强刚](s)</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1.1935(X)</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T4/T1 &lt;= 0.90</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vMerge w:val="restart"/>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3"/>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1.1726(Y)</w:t>
            </w:r>
          </w:p>
        </w:tc>
        <w:tc>
          <w:tcPr>
            <w:tcW w:w="1134" w:type="dxa"/>
            <w:vMerge w:val="continue"/>
            <w:shd w:val="clear" w:color="auto" w:fill="FFFFFF"/>
            <w:vAlign w:val="center"/>
          </w:tcPr>
          <w:p>
            <w:pPr>
              <w:jc w:val="center"/>
            </w:pPr>
          </w:p>
        </w:tc>
        <w:tc>
          <w:tcPr>
            <w:tcW w:w="1134" w:type="dxa"/>
            <w:vMerge w:val="continue"/>
            <w:shd w:val="clear" w:color="auto" w:fill="FFFFFF"/>
            <w:vAlign w:val="center"/>
          </w:tcPr>
          <w:p>
            <w:pPr>
              <w:jc w:val="center"/>
            </w:pPr>
          </w:p>
        </w:tc>
        <w:tc>
          <w:tcPr>
            <w:tcW w:w="1134" w:type="dxa"/>
            <w:vMerge w:val="continue"/>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3"/>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T4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0.9643(T)</w:t>
            </w:r>
          </w:p>
        </w:tc>
        <w:tc>
          <w:tcPr>
            <w:tcW w:w="1134" w:type="dxa"/>
            <w:vMerge w:val="continue"/>
            <w:shd w:val="clear" w:color="auto" w:fill="FFFFFF"/>
            <w:vAlign w:val="center"/>
          </w:tcPr>
          <w:p>
            <w:pPr>
              <w:jc w:val="center"/>
            </w:pPr>
          </w:p>
        </w:tc>
        <w:tc>
          <w:tcPr>
            <w:tcW w:w="1134" w:type="dxa"/>
            <w:vMerge w:val="continue"/>
            <w:shd w:val="clear" w:color="auto" w:fill="FFFFFF"/>
            <w:vAlign w:val="center"/>
          </w:tcPr>
          <w:p>
            <w:pPr>
              <w:jc w:val="center"/>
            </w:pPr>
          </w:p>
        </w:tc>
        <w:tc>
          <w:tcPr>
            <w:tcW w:w="1134" w:type="dxa"/>
            <w:vMerge w:val="continue"/>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vMerge w:val="restart"/>
            <w:shd w:val="clear" w:color="auto" w:fill="FFFFFF"/>
            <w:vAlign w:val="center"/>
          </w:tcPr>
          <w:p>
            <w:pPr>
              <w:jc w:val="center"/>
            </w:pPr>
            <w:r>
              <w:rPr>
                <w:rFonts w:hint="eastAsia" w:ascii="宋体" w:eastAsia="宋体"/>
                <w:b w:val="0"/>
                <w:color w:val="000000"/>
                <w:sz w:val="24"/>
                <w:szCs w:val="24"/>
                <w:shd w:val="clear" w:color="auto" w:fill="FFFFFF"/>
              </w:rPr>
              <w:t>水平力作用下的楼层层间最大位移与层高之比(Δu/h)(强刚)</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地震</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1/553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&lt; 1/550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2层 2塔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vMerge w:val="continue"/>
            <w:shd w:val="clear" w:color="auto" w:fill="FFFFFF"/>
            <w:vAlign w:val="center"/>
          </w:tcPr>
          <w:p>
            <w:pPr>
              <w:jc w:val="center"/>
            </w:pPr>
          </w:p>
        </w:tc>
        <w:tc>
          <w:tcPr>
            <w:tcW w:w="1134" w:type="dxa"/>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1/555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&lt; 1/550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4层 3塔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vMerge w:val="continue"/>
            <w:shd w:val="clear" w:color="auto" w:fill="FFFFFF"/>
            <w:vAlign w:val="center"/>
          </w:tcPr>
          <w:p>
            <w:pPr>
              <w:jc w:val="center"/>
            </w:pP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风荷载</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1/6303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&lt; 1/550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3层 1塔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vMerge w:val="continue"/>
            <w:shd w:val="clear" w:color="auto" w:fill="FFFFFF"/>
            <w:vAlign w:val="center"/>
          </w:tcPr>
          <w:p>
            <w:pPr>
              <w:jc w:val="center"/>
            </w:pPr>
          </w:p>
        </w:tc>
        <w:tc>
          <w:tcPr>
            <w:tcW w:w="1134" w:type="dxa"/>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1/3099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&lt; 1/550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2层 2塔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vMerge w:val="restart"/>
            <w:shd w:val="clear" w:color="auto" w:fill="FFFFFF"/>
            <w:vAlign w:val="center"/>
          </w:tcPr>
          <w:p>
            <w:pPr>
              <w:jc w:val="center"/>
            </w:pPr>
            <w:r>
              <w:rPr>
                <w:rFonts w:hint="eastAsia" w:ascii="宋体" w:eastAsia="宋体"/>
                <w:b w:val="0"/>
                <w:color w:val="000000"/>
                <w:sz w:val="24"/>
                <w:szCs w:val="24"/>
                <w:shd w:val="clear" w:color="auto" w:fill="FFFFFF"/>
              </w:rPr>
              <w:t>地震力作用下(偶然偏心)塔楼扭转参数(强刚)</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最大位移/平均位移</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1.06</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&lt; 1.50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5层 1塔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vMerge w:val="continue"/>
            <w:shd w:val="clear" w:color="auto" w:fill="FFFFFF"/>
            <w:vAlign w:val="center"/>
          </w:tcPr>
          <w:p>
            <w:pPr>
              <w:jc w:val="center"/>
            </w:pPr>
          </w:p>
        </w:tc>
        <w:tc>
          <w:tcPr>
            <w:tcW w:w="1134" w:type="dxa"/>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1.26</w:t>
            </w:r>
          </w:p>
        </w:tc>
        <w:tc>
          <w:tcPr>
            <w:tcW w:w="1134" w:type="dxa"/>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6层 3塔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vMerge w:val="continue"/>
            <w:shd w:val="clear" w:color="auto" w:fill="FFFFFF"/>
            <w:vAlign w:val="center"/>
          </w:tcPr>
          <w:p>
            <w:pPr>
              <w:jc w:val="center"/>
            </w:pP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最大层间位移/层间平均位移</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1.08</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&lt; 1.50</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5层 1塔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c>
          <w:tcPr>
            <w:tcW w:w="1134" w:type="dxa"/>
            <w:vMerge w:val="continue"/>
            <w:shd w:val="clear" w:color="auto" w:fill="FFFFFF"/>
          </w:tcPr>
          <w:p>
            <w:pPr>
              <w:jc w:val="left"/>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vMerge w:val="continue"/>
            <w:shd w:val="clear" w:color="auto" w:fill="FFFFFF"/>
            <w:vAlign w:val="center"/>
          </w:tcPr>
          <w:p>
            <w:pPr>
              <w:jc w:val="center"/>
            </w:pPr>
          </w:p>
        </w:tc>
        <w:tc>
          <w:tcPr>
            <w:tcW w:w="1134" w:type="dxa"/>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1.28</w:t>
            </w:r>
          </w:p>
        </w:tc>
        <w:tc>
          <w:tcPr>
            <w:tcW w:w="1134" w:type="dxa"/>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4层 3塔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3"/>
            <w:vMerge w:val="restart"/>
            <w:shd w:val="clear" w:color="auto" w:fill="FFFFFF"/>
            <w:vAlign w:val="center"/>
          </w:tcPr>
          <w:p>
            <w:pPr>
              <w:jc w:val="center"/>
            </w:pPr>
            <w:r>
              <w:rPr>
                <w:rFonts w:hint="eastAsia" w:ascii="宋体" w:eastAsia="宋体"/>
                <w:b w:val="0"/>
                <w:color w:val="000000"/>
                <w:sz w:val="24"/>
                <w:szCs w:val="24"/>
                <w:shd w:val="clear" w:color="auto" w:fill="FFFFFF"/>
              </w:rPr>
              <w:t>结构刚重比</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32.86</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&gt; 10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不考虑重力二阶效应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3"/>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31.50 </w:t>
            </w:r>
          </w:p>
        </w:tc>
        <w:tc>
          <w:tcPr>
            <w:tcW w:w="1134" w:type="dxa"/>
            <w:vMerge w:val="continue"/>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满足</w:t>
            </w:r>
          </w:p>
        </w:tc>
        <w:tc>
          <w:tcPr>
            <w:tcW w:w="1134" w:type="dxa"/>
            <w:vMerge w:val="continue"/>
            <w:shd w:val="clear" w:color="auto" w:fill="FFFFFF"/>
            <w:vAlign w:val="center"/>
          </w:tcPr>
          <w:p>
            <w:pPr>
              <w:jc w:val="center"/>
            </w:pPr>
          </w:p>
        </w:tc>
      </w:tr>
    </w:tbl>
    <w:p>
      <w:pPr>
        <w:spacing w:beforeLines="113" w:afterLines="113" w:line="113" w:lineRule="auto"/>
        <w:jc w:val="left"/>
      </w:pPr>
    </w:p>
    <w:p>
      <w:pPr>
        <w:pStyle w:val="16"/>
        <w:jc w:val="center"/>
      </w:pPr>
      <w:bookmarkStart w:id="6" w:name="_Toc4"/>
      <w:r>
        <w:rPr>
          <w:rFonts w:hint="eastAsia" w:ascii="宋体" w:eastAsia="宋体"/>
          <w:b/>
          <w:color w:val="000000"/>
          <w:sz w:val="32"/>
          <w:szCs w:val="32"/>
          <w:shd w:val="clear" w:color="auto" w:fill="FFFFFF"/>
        </w:rPr>
        <w:t>五. 结构模型概况</w:t>
      </w:r>
      <w:bookmarkEnd w:id="6"/>
    </w:p>
    <w:p>
      <w:pPr>
        <w:pStyle w:val="3"/>
        <w:jc w:val="left"/>
      </w:pPr>
      <w:bookmarkStart w:id="7" w:name="_Toc5"/>
      <w:r>
        <w:rPr>
          <w:rFonts w:hint="eastAsia" w:ascii="宋体" w:eastAsia="宋体"/>
          <w:b/>
          <w:color w:val="000000"/>
          <w:sz w:val="28"/>
          <w:szCs w:val="28"/>
          <w:shd w:val="clear" w:color="auto" w:fill="FFFFFF"/>
        </w:rPr>
        <w:t>1. 系统总信息</w:t>
      </w:r>
      <w:bookmarkEnd w:id="7"/>
    </w:p>
    <w:p>
      <w:pPr>
        <w:spacing w:beforeLines="113" w:afterLines="113" w:line="113" w:lineRule="auto"/>
        <w:jc w:val="left"/>
      </w:pPr>
      <w:r>
        <w:rPr>
          <w:rFonts w:hint="eastAsia" w:ascii="宋体" w:eastAsia="宋体"/>
          <w:b/>
          <w:color w:val="000000"/>
          <w:sz w:val="24"/>
          <w:szCs w:val="24"/>
          <w:shd w:val="clear" w:color="auto" w:fill="FFFFFF"/>
        </w:rPr>
        <w:t>(一)总信息:</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8" w:name="总信息"/>
            <w:bookmarkEnd w:id="8"/>
            <w:r>
              <w:rPr>
                <w:rFonts w:hint="eastAsia" w:ascii="宋体" w:eastAsia="宋体"/>
                <w:b w:val="0"/>
                <w:color w:val="000000"/>
                <w:sz w:val="24"/>
                <w:szCs w:val="24"/>
                <w:shd w:val="clear" w:color="auto" w:fill="FFFFFF"/>
              </w:rPr>
              <w:t>水平力与整体坐标夹角（度）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混凝土容重（kN/m3）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26.00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钢材容重（kN/m3）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78.00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裙房层数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转换层所在层号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嵌固端所在层号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嵌固端下移</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地下室顶板执行《抗规》6.1.14-3</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地上部分层数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地下室层数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墙元细分最大控制长度（m）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弹性板细分最大控制长度（m）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转换层指定为薄弱层</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墙梁跨中节点作为刚性楼板从节点</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考虑梁板顶面对齐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构件偏心方式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传统移动节点方式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结构材料信息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钢筋混凝土结构</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结构体系</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框架结构</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恒活荷载计算信息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模拟施工加载 3</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计算水平风荷载</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计算水平地震作用</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通用规范（2021版）</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结构所在地区</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全国</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规定水平力的确定方式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楼层剪力差方法（规范方法）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高位转换结构等效侧向刚度比计算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墙倾覆力矩计算方法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考虑墙的所有内力贡献</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墙梁转杆单元，当跨高比&gt;=</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框架梁转壳元，当跨高比&lt;</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梁墙扣除与柱重叠部分质量和重量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楼板扣除与梁墙重叠部分质量和重量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自动计算现浇楼板自重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弹性板按有限元方式进行面外设计</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全楼强制刚性楼板假定</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仅整体指标采用</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整体计算考虑楼梯刚度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不考虑</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(二)风荷载信息:</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9" w:name="风荷载信息"/>
            <w:bookmarkEnd w:id="9"/>
            <w:r>
              <w:rPr>
                <w:rFonts w:hint="eastAsia" w:ascii="宋体" w:eastAsia="宋体"/>
                <w:b w:val="0"/>
                <w:color w:val="000000"/>
                <w:sz w:val="24"/>
                <w:szCs w:val="24"/>
                <w:shd w:val="clear" w:color="auto" w:fill="FFFFFF"/>
              </w:rPr>
              <w:t>地面粗糙度类别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B</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修正后的基本风压（kN/m2）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X向结构基本周期（秒）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Y向结构基本周期（秒）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风荷载作用下结构的阻尼比（%）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承载力设计时风荷载效应放大系数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1.20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保留分析模型上自定义的风荷载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考虑顺风向风振影响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考虑横风向风振影响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考虑扭转风振影响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横风向或扭转风振校核</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用于舒适度验算的风压（kN/m2）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用于舒适度验算的结构阻尼比（%）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水平风体型系数：</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体型分段数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bl>
    <w:p/>
    <w:tbl>
      <w:tblPr>
        <w:tblStyle w:val="43"/>
        <w:tblW w:w="9072" w:type="dxa"/>
        <w:jc w:val="center"/>
        <w:tblLayout w:type="autofit"/>
        <w:tblCellMar>
          <w:top w:w="0" w:type="dxa"/>
          <w:left w:w="108" w:type="dxa"/>
          <w:bottom w:w="0" w:type="dxa"/>
          <w:right w:w="108" w:type="dxa"/>
        </w:tblCellMar>
      </w:tblPr>
      <w:tblGrid>
        <w:gridCol w:w="1848"/>
        <w:gridCol w:w="1444"/>
        <w:gridCol w:w="1445"/>
        <w:gridCol w:w="1445"/>
        <w:gridCol w:w="1445"/>
        <w:gridCol w:w="1445"/>
      </w:tblGrid>
      <w:tr>
        <w:tblPrEx>
          <w:tblCellMar>
            <w:top w:w="0" w:type="dxa"/>
            <w:left w:w="108" w:type="dxa"/>
            <w:bottom w:w="0" w:type="dxa"/>
            <w:right w:w="108" w:type="dxa"/>
          </w:tblCellMar>
        </w:tblPrEx>
        <w:trPr>
          <w:jc w:val="center"/>
        </w:trPr>
        <w:tc>
          <w:tcPr>
            <w:tcW w:w="1814" w:type="dxa"/>
            <w:shd w:val="clear" w:color="auto" w:fill="FFFFFF"/>
            <w:vAlign w:val="bottom"/>
          </w:tcPr>
          <w:p>
            <w:pPr>
              <w:jc w:val="left"/>
            </w:pPr>
            <w:r>
              <w:rPr>
                <w:rFonts w:hint="eastAsia" w:ascii="宋体" w:eastAsia="宋体"/>
                <w:b w:val="0"/>
                <w:color w:val="000000"/>
                <w:sz w:val="24"/>
                <w:szCs w:val="24"/>
                <w:shd w:val="clear" w:color="auto" w:fill="FFFFFF"/>
              </w:rPr>
              <w:t>分段数</w:t>
            </w:r>
          </w:p>
        </w:tc>
        <w:tc>
          <w:tcPr>
            <w:tcW w:w="1417" w:type="dxa"/>
            <w:shd w:val="clear" w:color="auto" w:fill="FFFFFF"/>
            <w:vAlign w:val="bottom"/>
          </w:tcPr>
          <w:p>
            <w:pPr>
              <w:jc w:val="left"/>
            </w:pPr>
            <w:r>
              <w:rPr>
                <w:rFonts w:hint="eastAsia" w:ascii="宋体" w:eastAsia="宋体"/>
                <w:b w:val="0"/>
                <w:color w:val="000000"/>
                <w:sz w:val="24"/>
                <w:szCs w:val="24"/>
                <w:shd w:val="clear" w:color="auto" w:fill="FFFFFF"/>
              </w:rPr>
              <w:t>最高层号</w:t>
            </w:r>
          </w:p>
        </w:tc>
        <w:tc>
          <w:tcPr>
            <w:tcW w:w="1417" w:type="dxa"/>
            <w:shd w:val="clear" w:color="auto" w:fill="FFFFFF"/>
            <w:vAlign w:val="bottom"/>
          </w:tcPr>
          <w:p>
            <w:pPr>
              <w:jc w:val="left"/>
            </w:pPr>
            <w:r>
              <w:rPr>
                <w:rFonts w:hint="eastAsia" w:ascii="宋体" w:eastAsia="宋体"/>
                <w:b w:val="0"/>
                <w:color w:val="000000"/>
                <w:sz w:val="24"/>
                <w:szCs w:val="24"/>
                <w:shd w:val="clear" w:color="auto" w:fill="FFFFFF"/>
              </w:rPr>
              <w:t>X向体型系数</w:t>
            </w:r>
          </w:p>
        </w:tc>
        <w:tc>
          <w:tcPr>
            <w:tcW w:w="1417" w:type="dxa"/>
            <w:shd w:val="clear" w:color="auto" w:fill="FFFFFF"/>
            <w:vAlign w:val="bottom"/>
          </w:tcPr>
          <w:p>
            <w:pPr>
              <w:jc w:val="left"/>
            </w:pPr>
            <w:r>
              <w:rPr>
                <w:rFonts w:hint="eastAsia" w:ascii="宋体" w:eastAsia="宋体"/>
                <w:b w:val="0"/>
                <w:color w:val="000000"/>
                <w:sz w:val="24"/>
                <w:szCs w:val="24"/>
                <w:shd w:val="clear" w:color="auto" w:fill="FFFFFF"/>
              </w:rPr>
              <w:t>Y向体型系数</w:t>
            </w:r>
          </w:p>
        </w:tc>
        <w:tc>
          <w:tcPr>
            <w:tcW w:w="1417" w:type="dxa"/>
            <w:shd w:val="clear" w:color="auto" w:fill="FFFFFF"/>
          </w:tcPr>
          <w:p>
            <w:pPr>
              <w:jc w:val="left"/>
            </w:pPr>
          </w:p>
        </w:tc>
        <w:tc>
          <w:tcPr>
            <w:tcW w:w="1417" w:type="dxa"/>
            <w:shd w:val="clear" w:color="auto" w:fill="FFFFFF"/>
          </w:tcPr>
          <w:p>
            <w:pPr>
              <w:jc w:val="left"/>
            </w:pPr>
          </w:p>
        </w:tc>
      </w:tr>
      <w:tr>
        <w:tblPrEx>
          <w:tblCellMar>
            <w:top w:w="0" w:type="dxa"/>
            <w:left w:w="108" w:type="dxa"/>
            <w:bottom w:w="0" w:type="dxa"/>
            <w:right w:w="108" w:type="dxa"/>
          </w:tblCellMar>
        </w:tblPrEx>
        <w:trPr>
          <w:jc w:val="center"/>
        </w:trPr>
        <w:tc>
          <w:tcPr>
            <w:tcW w:w="1814" w:type="dxa"/>
            <w:shd w:val="clear" w:color="auto" w:fill="FFFFFF"/>
            <w:vAlign w:val="bottom"/>
          </w:tcPr>
          <w:p>
            <w:pPr>
              <w:jc w:val="left"/>
            </w:pPr>
            <w:r>
              <w:rPr>
                <w:rFonts w:hint="eastAsia" w:ascii="宋体" w:eastAsia="宋体"/>
                <w:b w:val="0"/>
                <w:color w:val="000000"/>
                <w:sz w:val="24"/>
                <w:szCs w:val="24"/>
                <w:shd w:val="clear" w:color="auto" w:fill="FFFFFF"/>
              </w:rPr>
              <w:t>1</w:t>
            </w:r>
          </w:p>
        </w:tc>
        <w:tc>
          <w:tcPr>
            <w:tcW w:w="1417" w:type="dxa"/>
            <w:shd w:val="clear" w:color="auto" w:fill="FFFFFF"/>
            <w:vAlign w:val="bottom"/>
          </w:tcPr>
          <w:p>
            <w:pPr>
              <w:jc w:val="left"/>
            </w:pPr>
            <w:r>
              <w:rPr>
                <w:rFonts w:hint="eastAsia" w:ascii="宋体" w:eastAsia="宋体"/>
                <w:b w:val="0"/>
                <w:color w:val="000000"/>
                <w:sz w:val="24"/>
                <w:szCs w:val="24"/>
                <w:shd w:val="clear" w:color="auto" w:fill="FFFFFF"/>
              </w:rPr>
              <w:t>6</w:t>
            </w:r>
          </w:p>
        </w:tc>
        <w:tc>
          <w:tcPr>
            <w:tcW w:w="1417" w:type="dxa"/>
            <w:shd w:val="clear" w:color="auto" w:fill="FFFFFF"/>
            <w:vAlign w:val="bottom"/>
          </w:tcPr>
          <w:p>
            <w:pPr>
              <w:jc w:val="left"/>
            </w:pPr>
            <w:r>
              <w:rPr>
                <w:rFonts w:hint="eastAsia" w:ascii="宋体" w:eastAsia="宋体"/>
                <w:b w:val="0"/>
                <w:color w:val="000000"/>
                <w:sz w:val="24"/>
                <w:szCs w:val="24"/>
                <w:shd w:val="clear" w:color="auto" w:fill="FFFFFF"/>
              </w:rPr>
              <w:t>1.30</w:t>
            </w:r>
          </w:p>
        </w:tc>
        <w:tc>
          <w:tcPr>
            <w:tcW w:w="1417" w:type="dxa"/>
            <w:shd w:val="clear" w:color="auto" w:fill="FFFFFF"/>
            <w:vAlign w:val="bottom"/>
          </w:tcPr>
          <w:p>
            <w:pPr>
              <w:jc w:val="left"/>
            </w:pPr>
            <w:r>
              <w:rPr>
                <w:rFonts w:hint="eastAsia" w:ascii="宋体" w:eastAsia="宋体"/>
                <w:b w:val="0"/>
                <w:color w:val="000000"/>
                <w:sz w:val="24"/>
                <w:szCs w:val="24"/>
                <w:shd w:val="clear" w:color="auto" w:fill="FFFFFF"/>
              </w:rPr>
              <w:t>1.30</w:t>
            </w:r>
          </w:p>
        </w:tc>
        <w:tc>
          <w:tcPr>
            <w:tcW w:w="1417" w:type="dxa"/>
            <w:shd w:val="clear" w:color="auto" w:fill="FFFFFF"/>
          </w:tcPr>
          <w:p>
            <w:pPr>
              <w:jc w:val="left"/>
            </w:pPr>
          </w:p>
        </w:tc>
        <w:tc>
          <w:tcPr>
            <w:tcW w:w="1417" w:type="dxa"/>
            <w:shd w:val="clear" w:color="auto" w:fill="FFFFFF"/>
          </w:tcPr>
          <w:p>
            <w:pPr>
              <w:jc w:val="left"/>
            </w:pPr>
          </w:p>
        </w:tc>
      </w:tr>
    </w:tbl>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设缝多塔背风面体型系数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(三)地震信息:</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0" w:name="地震信息"/>
            <w:bookmarkEnd w:id="10"/>
            <w:r>
              <w:rPr>
                <w:rFonts w:hint="eastAsia" w:ascii="宋体" w:eastAsia="宋体"/>
                <w:b w:val="0"/>
                <w:color w:val="000000"/>
                <w:sz w:val="24"/>
                <w:szCs w:val="24"/>
                <w:shd w:val="clear" w:color="auto" w:fill="FFFFFF"/>
              </w:rPr>
              <w:t>建筑抗震设防类别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丙类</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设防地震分组</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第一组</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设防烈度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7（0.15g）</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场地类别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III类</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特征周期（秒）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周期折减系数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0.90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计算地震位移时是否考虑周期折减系数对地震作用的影响</w:t>
            </w:r>
          </w:p>
        </w:tc>
        <w:tc>
          <w:tcPr>
            <w:tcW w:w="4536" w:type="dxa"/>
            <w:shd w:val="clear" w:color="auto" w:fill="FFFFFF"/>
            <w:vAlign w:val="bottom"/>
          </w:tcPr>
          <w:p>
            <w:pPr>
              <w:jc w:val="left"/>
              <w:rPr>
                <w:rFonts w:hint="eastAsia" w:eastAsiaTheme="minorEastAsia"/>
                <w:lang w:eastAsia="zh-CN"/>
              </w:rPr>
            </w:pPr>
            <w:r>
              <w:rPr>
                <w:rFonts w:hint="eastAsia" w:ascii="宋体" w:eastAsia="宋体"/>
                <w:b w:val="0"/>
                <w:color w:val="000000"/>
                <w:sz w:val="24"/>
                <w:szCs w:val="24"/>
                <w:shd w:val="clear" w:color="auto" w:fill="FFFFFF"/>
                <w:lang w:val="en-US" w:eastAsia="zh-CN"/>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水平地震影响系数最大值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0.1625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用于12层以下规则砼框架结构薄弱层验算的地震影响系数最大值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0.7125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是否采用自定义地震影响系数曲线</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结构阻尼比选取方法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全楼统一</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特征值分析参数：</w:t>
            </w:r>
          </w:p>
        </w:tc>
        <w:tc>
          <w:tcPr>
            <w:tcW w:w="4536" w:type="dxa"/>
            <w:shd w:val="clear" w:color="auto" w:fill="FFFFFF"/>
            <w:vAlign w:val="bottom"/>
          </w:tcPr>
          <w:p>
            <w:pPr>
              <w:jc w:val="left"/>
            </w:pPr>
          </w:p>
        </w:tc>
      </w:tr>
      <w:tr>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分析类型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子空间迭代法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程序自动确定振型数：</w:t>
            </w:r>
          </w:p>
        </w:tc>
        <w:tc>
          <w:tcPr>
            <w:tcW w:w="4536" w:type="dxa"/>
            <w:shd w:val="clear" w:color="auto" w:fill="FFFFFF"/>
            <w:vAlign w:val="bottom"/>
          </w:tcPr>
          <w:p>
            <w:pPr>
              <w:jc w:val="left"/>
            </w:pPr>
          </w:p>
        </w:tc>
      </w:tr>
      <w:tr>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质量参与系数之和（%）</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90.00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最多振型数量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砼框架抗震等级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  三级</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剪力墙抗震等级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  三级</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钢框架抗震等级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  三级</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抗震构造措施的抗震等级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提高一级</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悬挑梁默认取框梁抗震等级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降低嵌固端以下抗震构造措施的抗震等级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部分框支剪力墙结构底部加强区剪力墙抗震等级自动提高一级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按主振型确定地震内力符号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程序自动考虑最不利水平地震作用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工业设备反应谱法与规范简化方法的底部剪力最小比例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考虑双向地震作用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考虑偶然偏心的方式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相对于边长的偶然偏心</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X向相对偶然偏心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Y向相对偶然偏心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斜交抗侧力构件方向附加地震数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(四)隔震信息:</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1" w:name="隔震信息"/>
            <w:bookmarkEnd w:id="11"/>
            <w:r>
              <w:rPr>
                <w:rFonts w:hint="eastAsia" w:ascii="宋体" w:eastAsia="宋体"/>
                <w:b w:val="0"/>
                <w:color w:val="000000"/>
                <w:sz w:val="24"/>
                <w:szCs w:val="24"/>
                <w:shd w:val="clear" w:color="auto" w:fill="FFFFFF"/>
              </w:rPr>
              <w:t>指定的隔震层个数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阻尼比确定方法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强制解耦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最大附加阻尼比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迭代确定等效刚度和等效阻尼比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(五)活荷信息:</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2" w:name="活荷信息"/>
            <w:bookmarkEnd w:id="12"/>
            <w:r>
              <w:rPr>
                <w:rFonts w:hint="eastAsia" w:ascii="宋体" w:eastAsia="宋体"/>
                <w:b w:val="0"/>
                <w:color w:val="000000"/>
                <w:sz w:val="24"/>
                <w:szCs w:val="24"/>
                <w:shd w:val="clear" w:color="auto" w:fill="FFFFFF"/>
              </w:rPr>
              <w:t>楼面活荷载折减方式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传统方式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柱、墙设计时活荷载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不折减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传给基础的活荷载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柱、墙、基础活荷载折减系数：</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计算截面以上层数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折减系数</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2-3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4-5</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0.70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6-8</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9-20</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20层以上</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梁楼面活荷载折减设置</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不折减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梁活荷不利布置的最高层号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6</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考虑结构使用年限的活荷载调整系数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墙、柱设计时消防车荷载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梁设计时消防车荷载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(六)二阶效应:</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3" w:name="二阶效应"/>
            <w:bookmarkEnd w:id="13"/>
            <w:r>
              <w:rPr>
                <w:rFonts w:hint="eastAsia" w:ascii="宋体" w:eastAsia="宋体"/>
                <w:b w:val="0"/>
                <w:color w:val="000000"/>
                <w:sz w:val="24"/>
                <w:szCs w:val="24"/>
                <w:shd w:val="clear" w:color="auto" w:fill="FFFFFF"/>
              </w:rPr>
              <w:t>结构内力分析方法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一阶弹性设计方法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二阶效应计算方法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不考虑</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柱长度系数置1.0</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考虑柱、支撑侧向失稳</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考虑结构整体缺陷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考虑结构构件缺陷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(七)调整信息:</w:t>
      </w:r>
    </w:p>
    <w:tbl>
      <w:tblPr>
        <w:tblStyle w:val="43"/>
        <w:tblW w:w="9072" w:type="dxa"/>
        <w:jc w:val="center"/>
        <w:tblLayout w:type="autofit"/>
        <w:tblCellMar>
          <w:top w:w="0" w:type="dxa"/>
          <w:left w:w="108" w:type="dxa"/>
          <w:bottom w:w="0" w:type="dxa"/>
          <w:right w:w="108" w:type="dxa"/>
        </w:tblCellMar>
      </w:tblPr>
      <w:tblGrid>
        <w:gridCol w:w="4536"/>
        <w:gridCol w:w="4536"/>
      </w:tblGrid>
      <w:tr>
        <w:trPr>
          <w:jc w:val="center"/>
        </w:trPr>
        <w:tc>
          <w:tcPr>
            <w:tcW w:w="4536" w:type="dxa"/>
            <w:shd w:val="clear" w:color="auto" w:fill="FFFFFF"/>
            <w:vAlign w:val="bottom"/>
          </w:tcPr>
          <w:p>
            <w:pPr>
              <w:jc w:val="left"/>
            </w:pPr>
            <w:bookmarkStart w:id="14" w:name="调整信息"/>
            <w:bookmarkEnd w:id="14"/>
            <w:r>
              <w:rPr>
                <w:rFonts w:hint="eastAsia" w:ascii="宋体" w:eastAsia="宋体"/>
                <w:b w:val="0"/>
                <w:color w:val="000000"/>
                <w:sz w:val="24"/>
                <w:szCs w:val="24"/>
                <w:shd w:val="clear" w:color="auto" w:fill="FFFFFF"/>
              </w:rPr>
              <w:t>梁刚度放大系数按2010规范取值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中梁刚度放大系数上限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边梁刚度放大系数上限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梁刚度放大系数按主梁计算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地震作用下连梁刚度折减系数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采用SAUSAGE-Design计算的连梁刚度折减系数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计算地震位移时是否单独指定连梁刚度折减系数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风荷载作用下的连梁刚度折减系数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梁柱重叠部分简化为刚域：</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柱端简化为刚域</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梁端简化为刚域</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托墙梁刚度放大系数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钢管束剪力墙计算模型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按合并强肢模型计算</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钢管束墙混凝土刚度折减系数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剪重比调整</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扭转效应是否明显</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弱轴方向动位移比例（0-1）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强轴方向动位移比例（0-1）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薄弱层调整：</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按刚度比判断薄弱层的方式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按抗规和高规从严判断</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受剪承载力突变形成的薄弱层自动进行调整</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指定的薄弱层个数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薄弱层地震内力放大系数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1.25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地震作用调整：</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全楼地震作用放大系数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调整与框支柱相连的梁的内力</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框支柱调整系数上限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二道防线调整：</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考虑双向地震时内力调整方式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先考虑双向地震再调整</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0.2V0分段调整方法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规范方法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alpha</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0.20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beta</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调整分段数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梁端负弯矩调幅系数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梁端弯矩调幅方法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通过主次梁支座进行调幅</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梁活荷载内力放大系数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梁扭矩折减系数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转换结构构件（三、四级）的水平地震作用效应放大系数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(八)设计信息:</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5" w:name="设计信息"/>
            <w:bookmarkEnd w:id="15"/>
            <w:r>
              <w:rPr>
                <w:rFonts w:hint="eastAsia" w:ascii="宋体" w:eastAsia="宋体"/>
                <w:b w:val="0"/>
                <w:color w:val="000000"/>
                <w:sz w:val="24"/>
                <w:szCs w:val="24"/>
                <w:shd w:val="clear" w:color="auto" w:fill="FFFFFF"/>
              </w:rPr>
              <w:t>结构重要性系数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交叉斜筋箍筋与对角斜筋强度比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梁按压弯计算的最小轴压比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0.15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梁按拉弯计算的最小轴拉比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0.15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框架梁端配筋考虑受压钢筋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结构中的框架部分轴压比限值按照纯框架结构的规定采用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按排架柱考虑柱二阶效应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柱配筋计算原则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按单偏压计算</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柱双偏压配筋方式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普通方式</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柱剪跨比计算原则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简化方式（H/2h0）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H取柱净高Hn</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框架梁弯矩按简支梁控制</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主梁、次梁均执行此条</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主梁进行简支梁控制的处理方法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分段计算</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保留用户自定义的边缘构件信息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剪力墙边缘构件的类型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SATWE列出的所有类型</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构造边缘构件尺寸</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按《高规》7.2.16条处理</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构造边缘构件竖向配筋最小值提高0.001Ac</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轴压比小于《抗规》6.4.5条限制时设置为构造边缘构件</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自动生成梁、墙相交处暗柱</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梁实配钢筋超配系数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1.15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柱实配钢筋超配系数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1.15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墙实配钢筋超配系数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1.15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执行《建筑结构可靠性设计统一标准》</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重力荷载分项系数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刚重比计算的永久荷载分项系数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刚重比计算的可变荷载分项系数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型钢混凝土构件设计执行规范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组合结构设计规范(JGJ 138-2016)</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异形柱设计执行规范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混凝土异形柱结构技术规程(JGJ149-2017)</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执行《装配式剪力墙结构设计规程》DB11/1003-2013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箍筋间距：</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梁箍筋间距（mm）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柱箍筋间距（mm）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墙水平分布筋间距（mm）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钢构件截面净毛面积比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钢柱计算长度系数：</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有侧移</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有侧移</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自动考虑有无侧移</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钢构件材料强度执行《高钢规》JGJ 99-2015</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钢梁宽厚比等级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S4</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钢柱宽厚比等级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S4</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长细比、宽厚比执行《高钢规》第7.3.9条和7.4.1条</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钢结构设计执行规范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《钢结构设计标准》GB50017-2017</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圆钢管混凝土构件设计执行规范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高规(JGJ 3-2010)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方钢管混凝土构件设计执行规范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组合结构设计规范(JGJ 138-2016)</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(九)配筋信息:</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6" w:name="配筋信息"/>
            <w:bookmarkEnd w:id="16"/>
            <w:r>
              <w:rPr>
                <w:rFonts w:hint="eastAsia" w:ascii="宋体" w:eastAsia="宋体"/>
                <w:b w:val="0"/>
                <w:color w:val="000000"/>
                <w:sz w:val="24"/>
                <w:szCs w:val="24"/>
                <w:shd w:val="clear" w:color="auto" w:fill="FFFFFF"/>
              </w:rPr>
              <w:t>钢筋级别：</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HRB500轴心受压强度取400N/mm2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墙水平分布筋级别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墙竖向分布筋级别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边缘构件箍筋级别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墙分布筋配筋率：</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墙竖向分布筋配筋率（%）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墙最小水平分布筋配筋率（%）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板主筋级别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受剪、受扭、受冲切时，强度取值不超过360N/mm2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(十)荷载组合:</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7" w:name="荷载组合"/>
            <w:bookmarkEnd w:id="17"/>
            <w:r>
              <w:rPr>
                <w:rFonts w:hint="eastAsia" w:ascii="宋体" w:eastAsia="宋体"/>
                <w:b w:val="0"/>
                <w:color w:val="000000"/>
                <w:sz w:val="24"/>
                <w:szCs w:val="24"/>
                <w:shd w:val="clear" w:color="auto" w:fill="FFFFFF"/>
              </w:rPr>
              <w:t>地震与风同时组合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考虑竖向地震为主的组合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普通风与特殊风同时进行组合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温度作用考虑风荷载参与组合的组合值系数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砼构件温度效应折减系数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屋面活荷载、雪荷载和风荷载组合原则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屋面活荷载、风荷载和雪荷载同时进行组合</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水平地震作用分项系数γEh（主控）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1.40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水平地震作用分项系数γEh（非主控）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荷载组合方式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采用默认组合</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(十一)地下室信息:</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8" w:name="地下室信息"/>
            <w:bookmarkEnd w:id="18"/>
            <w:r>
              <w:rPr>
                <w:rFonts w:hint="eastAsia" w:ascii="宋体" w:eastAsia="宋体"/>
                <w:b w:val="0"/>
                <w:color w:val="000000"/>
                <w:sz w:val="24"/>
                <w:szCs w:val="24"/>
                <w:shd w:val="clear" w:color="auto" w:fill="FFFFFF"/>
              </w:rPr>
              <w:t>室外地面与结构最底部的高差（单位m）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4.50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x向土层水平抗力系数的比例系数（m值）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y向土层水平抗力系数的比例系数（m值）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x向地面处回填土刚度折减系数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y向地面处回填土刚度折减系数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地下室外墙侧水土压力参数：</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室外地坪标高（m）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回填土侧压力系数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回填土天然容重（kN/m3）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18.00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地下水位标高（m）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回填土饱和容重(kN/m2)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25.00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室外地面附加荷载（kN/m2）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面外设计方法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有限元方法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水土侧压计算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水土分算</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水压力年限调整系数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考虑对整体结构的影响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人防设计信息：</w:t>
            </w:r>
          </w:p>
        </w:tc>
        <w:tc>
          <w:tcPr>
            <w:tcW w:w="4536" w:type="dxa"/>
            <w:shd w:val="clear" w:color="auto" w:fill="FFFFFF"/>
            <w:vAlign w:val="bottom"/>
          </w:tcPr>
          <w:p>
            <w:pPr>
              <w:jc w:val="left"/>
            </w:pP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人防地下室总层数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竖向配筋方式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纯弯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外墙纵筋保护层厚度（mm）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35.00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内墙纵筋保护层厚度（mm）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35.00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(十二)性能设计:</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19" w:name="性能设计"/>
            <w:bookmarkEnd w:id="19"/>
            <w:r>
              <w:rPr>
                <w:rFonts w:hint="eastAsia" w:ascii="宋体" w:eastAsia="宋体"/>
                <w:b w:val="0"/>
                <w:color w:val="000000"/>
                <w:sz w:val="24"/>
                <w:szCs w:val="24"/>
                <w:shd w:val="clear" w:color="auto" w:fill="FFFFFF"/>
              </w:rPr>
              <w:t>性能设计方法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不考虑</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(十三)高级参数:</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20" w:name="高级参数"/>
            <w:bookmarkEnd w:id="20"/>
            <w:r>
              <w:rPr>
                <w:rFonts w:hint="eastAsia" w:ascii="宋体" w:eastAsia="宋体"/>
                <w:b w:val="0"/>
                <w:color w:val="000000"/>
                <w:sz w:val="24"/>
                <w:szCs w:val="24"/>
                <w:shd w:val="clear" w:color="auto" w:fill="FFFFFF"/>
              </w:rPr>
              <w:t>计算软件信息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64位</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线性方程组解法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Pardiso</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地震作用分析方法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总刚分析方法</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位移输出方式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简化输出</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生成传给基础的刚度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墙柱配筋采用考虑翼缘共同工作的设计方法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计算资源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本地</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采用自定义位移指标统计节点范围</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按框架梁建模的连梁混凝土等级默认同墙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二道防线调整时，调整与框架柱相连的框架梁端弯矩、剪力</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薄弱层地震内力调整时不放大构件轴力</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放大</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剪切刚度计算时考虑柱刚域影响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短肢墙判断时考虑相连墙肢厚度影响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刚重比验算考虑填充墙刚度影响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剪力墙端柱的面外剪力统计到框架部分</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按构件内力累加方式计算层指标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传施工步荷载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自动设置楼板力学模型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高低跨自动设置为桁架</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采用自定义范围统计指标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位移指标统计时考虑斜柱（仅限小于“支撑临界角”的斜柱）</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执行《混凝土规范》9.2.6.1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执行《混凝土规范》11.3.7</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根据质量加权位移计算平均层间位移</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支撑临界角（度）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工业设备框架风荷载X向调整系数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工业设备框架风荷载Y向调整系数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(十四)其他重要参数:</w:t>
      </w:r>
    </w:p>
    <w:tbl>
      <w:tblPr>
        <w:tblStyle w:val="43"/>
        <w:tblW w:w="9072" w:type="dxa"/>
        <w:jc w:val="center"/>
        <w:tblLayout w:type="autofit"/>
        <w:tblCellMar>
          <w:top w:w="0" w:type="dxa"/>
          <w:left w:w="108" w:type="dxa"/>
          <w:bottom w:w="0" w:type="dxa"/>
          <w:right w:w="108" w:type="dxa"/>
        </w:tblCellMar>
      </w:tblPr>
      <w:tblGrid>
        <w:gridCol w:w="4536"/>
        <w:gridCol w:w="4536"/>
      </w:tblGrid>
      <w:tr>
        <w:tblPrEx>
          <w:tblCellMar>
            <w:top w:w="0" w:type="dxa"/>
            <w:left w:w="108" w:type="dxa"/>
            <w:bottom w:w="0" w:type="dxa"/>
            <w:right w:w="108" w:type="dxa"/>
          </w:tblCellMar>
        </w:tblPrEx>
        <w:trPr>
          <w:jc w:val="center"/>
        </w:trPr>
        <w:tc>
          <w:tcPr>
            <w:tcW w:w="4536" w:type="dxa"/>
            <w:shd w:val="clear" w:color="auto" w:fill="FFFFFF"/>
            <w:vAlign w:val="bottom"/>
          </w:tcPr>
          <w:p>
            <w:pPr>
              <w:jc w:val="left"/>
            </w:pPr>
            <w:bookmarkStart w:id="21" w:name="其他重要参数"/>
            <w:bookmarkEnd w:id="21"/>
            <w:r>
              <w:rPr>
                <w:rFonts w:hint="eastAsia" w:ascii="宋体" w:eastAsia="宋体"/>
                <w:b w:val="0"/>
                <w:color w:val="000000"/>
                <w:sz w:val="24"/>
                <w:szCs w:val="24"/>
                <w:shd w:val="clear" w:color="auto" w:fill="FFFFFF"/>
              </w:rPr>
              <w:t>主控自由度总数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5370</w:t>
            </w:r>
          </w:p>
        </w:tc>
      </w:tr>
    </w:tbl>
    <w:p>
      <w:pPr>
        <w:spacing w:beforeLines="113" w:afterLines="113" w:line="113" w:lineRule="auto"/>
        <w:jc w:val="left"/>
      </w:pPr>
    </w:p>
    <w:p>
      <w:pPr>
        <w:pStyle w:val="3"/>
        <w:jc w:val="left"/>
      </w:pPr>
      <w:bookmarkStart w:id="22" w:name="_Toc6"/>
      <w:r>
        <w:rPr>
          <w:rFonts w:hint="eastAsia" w:ascii="宋体" w:eastAsia="宋体"/>
          <w:b/>
          <w:color w:val="000000"/>
          <w:sz w:val="28"/>
          <w:szCs w:val="28"/>
          <w:shd w:val="clear" w:color="auto" w:fill="FFFFFF"/>
        </w:rPr>
        <w:t>2. 楼层信息</w:t>
      </w:r>
      <w:bookmarkEnd w:id="22"/>
    </w:p>
    <w:p>
      <w:pPr>
        <w:spacing w:beforeLines="113" w:afterLines="113" w:line="113" w:lineRule="auto"/>
        <w:jc w:val="center"/>
      </w:pPr>
      <w:r>
        <w:rPr>
          <w:rFonts w:hint="eastAsia" w:ascii="黑体" w:eastAsia="黑体"/>
          <w:b/>
          <w:color w:val="000000"/>
          <w:sz w:val="26"/>
          <w:szCs w:val="26"/>
          <w:shd w:val="clear" w:color="auto" w:fill="FFFFFF"/>
        </w:rPr>
        <w:t>表5-1 构件材料</w:t>
      </w:r>
    </w:p>
    <w:tbl>
      <w:tblPr>
        <w:tblStyle w:val="32"/>
        <w:tblW w:w="725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907"/>
        <w:gridCol w:w="907"/>
        <w:gridCol w:w="907"/>
        <w:gridCol w:w="907"/>
        <w:gridCol w:w="907"/>
        <w:gridCol w:w="907"/>
        <w:gridCol w:w="908"/>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Merge w:val="restart"/>
            <w:tcBorders>
              <w:top w:val="single" w:color="auto" w:sz="14" w:space="0"/>
              <w:left w:val="nil"/>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907" w:type="dxa"/>
            <w:vMerge w:val="restart"/>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814"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梁元</w:t>
            </w:r>
          </w:p>
        </w:tc>
        <w:tc>
          <w:tcPr>
            <w:tcW w:w="1814"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柱元(含支撑)</w:t>
            </w:r>
          </w:p>
        </w:tc>
        <w:tc>
          <w:tcPr>
            <w:tcW w:w="1814" w:type="dxa"/>
            <w:gridSpan w:val="2"/>
            <w:tcBorders>
              <w:top w:val="single" w:color="auto" w:sz="14" w:space="0"/>
              <w:left w:val="single" w:color="auto" w:sz="4" w:space="0"/>
              <w:bottom w:val="single" w:color="auto" w:sz="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墙元</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Merge w:val="continue"/>
            <w:tcBorders>
              <w:top w:val="single" w:color="auto" w:sz="4" w:space="0"/>
              <w:left w:val="nil"/>
              <w:bottom w:val="single" w:color="auto" w:sz="14" w:space="0"/>
              <w:right w:val="single" w:color="auto" w:sz="4" w:space="0"/>
            </w:tcBorders>
            <w:shd w:val="clear" w:color="auto" w:fill="FFFFFF"/>
            <w:vAlign w:val="center"/>
          </w:tcPr>
          <w:p>
            <w:pPr>
              <w:jc w:val="center"/>
            </w:pPr>
          </w:p>
        </w:tc>
        <w:tc>
          <w:tcPr>
            <w:tcW w:w="907" w:type="dxa"/>
            <w:vMerge w:val="continue"/>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p>
        </w:tc>
        <w:tc>
          <w:tcPr>
            <w:tcW w:w="907"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907"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c>
          <w:tcPr>
            <w:tcW w:w="907"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907"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c>
          <w:tcPr>
            <w:tcW w:w="907"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907" w:type="dxa"/>
            <w:tcBorders>
              <w:top w:val="single" w:color="auto" w:sz="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材料</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19</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198</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211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50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19</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127</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78</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29</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shd w:val="clear" w:color="auto" w:fill="FFFFFF"/>
            <w:vAlign w:val="center"/>
          </w:tcPr>
          <w:p>
            <w:pPr>
              <w:jc w:val="center"/>
            </w:pPr>
            <w:r>
              <w:rPr>
                <w:rFonts w:hint="eastAsia" w:ascii="宋体" w:eastAsia="宋体"/>
                <w:b w:val="0"/>
                <w:color w:val="000000"/>
                <w:sz w:val="24"/>
                <w:szCs w:val="24"/>
                <w:shd w:val="clear" w:color="auto" w:fill="FFFFFF"/>
              </w:rPr>
              <w:t>3,4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50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19</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3,4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99</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3,4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78</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29</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50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19</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104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83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106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19</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80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p>
        </w:tc>
        <w:tc>
          <w:tcPr>
            <w:tcW w:w="907" w:type="dxa"/>
            <w:shd w:val="clear" w:color="auto" w:fill="FFFFFF"/>
            <w:vAlign w:val="center"/>
          </w:tcPr>
          <w:p>
            <w:pPr>
              <w:jc w:val="center"/>
            </w:pP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202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C40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表5-2 梁柱板钢筋强度及保护层厚度</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008"/>
        <w:gridCol w:w="1008"/>
        <w:gridCol w:w="1008"/>
        <w:gridCol w:w="1008"/>
        <w:gridCol w:w="1008"/>
        <w:gridCol w:w="1008"/>
        <w:gridCol w:w="1008"/>
        <w:gridCol w:w="1008"/>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3"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963"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柱纵筋</w:t>
            </w:r>
          </w:p>
        </w:tc>
        <w:tc>
          <w:tcPr>
            <w:tcW w:w="963"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柱箍筋</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柱保护层厚度</w:t>
            </w:r>
          </w:p>
        </w:tc>
        <w:tc>
          <w:tcPr>
            <w:tcW w:w="963"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梁纵筋</w:t>
            </w:r>
          </w:p>
        </w:tc>
        <w:tc>
          <w:tcPr>
            <w:tcW w:w="963"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梁箍筋</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梁保护层厚度</w:t>
            </w:r>
          </w:p>
        </w:tc>
        <w:tc>
          <w:tcPr>
            <w:tcW w:w="963" w:type="dxa"/>
            <w:tcBorders>
              <w:top w:val="single" w:color="auto" w:sz="14" w:space="0"/>
              <w:left w:val="single" w:color="auto" w:sz="4" w:space="0"/>
              <w:bottom w:val="single" w:color="auto" w:sz="14" w:space="0"/>
              <w:right w:val="nil"/>
            </w:tcBorders>
            <w:shd w:val="clear" w:color="auto" w:fill="FFFFFF"/>
          </w:tcPr>
          <w:p>
            <w:pPr>
              <w:jc w:val="center"/>
            </w:pPr>
            <w:r>
              <w:rPr>
                <w:rFonts w:hint="eastAsia" w:ascii="宋体" w:eastAsia="宋体"/>
                <w:b w:val="0"/>
                <w:color w:val="000000"/>
                <w:sz w:val="24"/>
                <w:szCs w:val="24"/>
                <w:shd w:val="clear" w:color="auto" w:fill="FFFFFF"/>
              </w:rPr>
              <w:t>楼板钢筋</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restart"/>
            <w:shd w:val="clear" w:color="auto" w:fill="FFFFFF"/>
            <w:vAlign w:val="center"/>
          </w:tcPr>
          <w:p>
            <w:pPr>
              <w:jc w:val="center"/>
            </w:pPr>
            <w:r>
              <w:rPr>
                <w:rFonts w:hint="eastAsia" w:ascii="宋体" w:eastAsia="宋体"/>
                <w:b w:val="0"/>
                <w:color w:val="000000"/>
                <w:sz w:val="24"/>
                <w:szCs w:val="24"/>
                <w:shd w:val="clear" w:color="auto" w:fill="FFFFFF"/>
              </w:rPr>
              <w:t>1-6</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20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20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360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shd w:val="clear" w:color="auto" w:fill="FFFFFF"/>
            <w:vAlign w:val="center"/>
          </w:tcPr>
          <w:p>
            <w:pPr>
              <w:jc w:val="center"/>
            </w:pPr>
            <w:r>
              <w:rPr>
                <w:rFonts w:hint="eastAsia" w:ascii="宋体" w:eastAsia="宋体"/>
                <w:b w:val="0"/>
                <w:color w:val="000000"/>
                <w:sz w:val="24"/>
                <w:szCs w:val="24"/>
                <w:shd w:val="clear" w:color="auto" w:fill="FFFFFF"/>
              </w:rPr>
              <w:t>1-6</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2,3</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20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20</w:t>
            </w:r>
          </w:p>
        </w:tc>
        <w:tc>
          <w:tcPr>
            <w:tcW w:w="963" w:type="dxa"/>
            <w:shd w:val="clear" w:color="auto" w:fill="FFFFFF"/>
            <w:vAlign w:val="center"/>
          </w:tcPr>
          <w:p>
            <w:pPr>
              <w:jc w:val="center"/>
            </w:pPr>
          </w:p>
        </w:tc>
      </w:tr>
    </w:tbl>
    <w:p>
      <w:pPr>
        <w:spacing w:beforeLines="113" w:afterLines="113" w:line="113" w:lineRule="auto"/>
        <w:jc w:val="left"/>
      </w:pPr>
      <w:r>
        <w:rPr>
          <w:rFonts w:hint="eastAsia" w:ascii="宋体" w:eastAsia="宋体"/>
          <w:b w:val="0"/>
          <w:color w:val="000000"/>
          <w:sz w:val="24"/>
          <w:szCs w:val="24"/>
          <w:shd w:val="clear" w:color="auto" w:fill="FFFFFF"/>
        </w:rPr>
        <w:t>注: 保护层厚度单位为mm</w:t>
      </w:r>
    </w:p>
    <w:p>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pPr>
        <w:spacing w:beforeLines="113" w:afterLines="113" w:line="113" w:lineRule="auto"/>
        <w:jc w:val="center"/>
      </w:pPr>
    </w:p>
    <w:p>
      <w:pPr>
        <w:spacing w:beforeLines="113" w:afterLines="113" w:line="113" w:lineRule="auto"/>
        <w:jc w:val="center"/>
      </w:pPr>
      <w:r>
        <w:rPr>
          <w:rFonts w:hint="eastAsia" w:ascii="黑体" w:eastAsia="黑体"/>
          <w:b/>
          <w:color w:val="000000"/>
          <w:sz w:val="26"/>
          <w:szCs w:val="26"/>
          <w:shd w:val="clear" w:color="auto" w:fill="FFFFFF"/>
        </w:rPr>
        <w:t>表5-3 墙钢筋强度</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856"/>
        <w:gridCol w:w="1369"/>
        <w:gridCol w:w="1997"/>
        <w:gridCol w:w="1997"/>
        <w:gridCol w:w="1997"/>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0"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85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墙主筋</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墙水平分布筋</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墙竖向分布筋</w:t>
            </w:r>
          </w:p>
        </w:tc>
        <w:tc>
          <w:tcPr>
            <w:tcW w:w="198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边缘构件箍筋</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vAlign w:val="center"/>
          </w:tcPr>
          <w:p>
            <w:pPr>
              <w:jc w:val="center"/>
            </w:pPr>
            <w:r>
              <w:rPr>
                <w:rFonts w:hint="eastAsia" w:ascii="宋体" w:eastAsia="宋体"/>
                <w:b w:val="0"/>
                <w:color w:val="000000"/>
                <w:sz w:val="24"/>
                <w:szCs w:val="24"/>
                <w:shd w:val="clear" w:color="auto" w:fill="FFFFFF"/>
              </w:rPr>
              <w:t>1-6</w:t>
            </w:r>
          </w:p>
        </w:tc>
        <w:tc>
          <w:tcPr>
            <w:tcW w:w="850"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r>
    </w:tbl>
    <w:p>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表5-4 墙分布筋配筋率</w:t>
      </w:r>
    </w:p>
    <w:tbl>
      <w:tblPr>
        <w:tblStyle w:val="30"/>
        <w:tblW w:w="8051"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907"/>
        <w:gridCol w:w="3402"/>
        <w:gridCol w:w="283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3402"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最小水平分布筋配筋率(%)</w:t>
            </w:r>
          </w:p>
        </w:tc>
        <w:tc>
          <w:tcPr>
            <w:tcW w:w="2835"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墙竖向分布筋配筋率(%)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3402"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2835" w:type="dxa"/>
            <w:shd w:val="clear" w:color="auto" w:fill="FFFFFF"/>
            <w:vAlign w:val="center"/>
          </w:tcPr>
          <w:p>
            <w:pPr>
              <w:jc w:val="center"/>
            </w:pPr>
            <w:r>
              <w:rPr>
                <w:rFonts w:hint="eastAsia" w:ascii="宋体" w:eastAsia="宋体"/>
                <w:b w:val="0"/>
                <w:color w:val="000000"/>
                <w:sz w:val="24"/>
                <w:szCs w:val="24"/>
                <w:shd w:val="clear" w:color="auto" w:fill="FFFFFF"/>
              </w:rPr>
              <w:t>0.30%</w:t>
            </w:r>
          </w:p>
        </w:tc>
      </w:tr>
    </w:tbl>
    <w:p>
      <w:pPr>
        <w:spacing w:beforeLines="113" w:afterLines="113" w:line="113" w:lineRule="auto"/>
        <w:jc w:val="left"/>
      </w:pPr>
    </w:p>
    <w:p>
      <w:pPr>
        <w:spacing w:beforeLines="1701" w:afterLines="567" w:line="170" w:lineRule="auto"/>
        <w:ind w:leftChars="200" w:rightChars="400" w:firstLineChars="200"/>
        <w:jc w:val="center"/>
      </w:pPr>
      <w:r>
        <w:drawing>
          <wp:inline distT="0" distB="0" distL="0" distR="0">
            <wp:extent cx="5399405" cy="5399405"/>
            <wp:effectExtent l="4445" t="4445" r="635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宋体" w:eastAsia="宋体"/>
          <w:b w:val="0"/>
          <w:color w:val="000000"/>
          <w:sz w:val="24"/>
          <w:szCs w:val="24"/>
          <w:shd w:val="clear" w:color="auto" w:fill="FFFFFF"/>
        </w:rPr>
        <w:t>图5-1 全楼构件材料简图</w:t>
      </w:r>
    </w:p>
    <w:p>
      <w:pPr>
        <w:spacing w:beforeLines="113" w:afterLines="113" w:line="113" w:lineRule="auto"/>
        <w:jc w:val="center"/>
      </w:pPr>
    </w:p>
    <w:p>
      <w:pPr>
        <w:pStyle w:val="3"/>
        <w:jc w:val="left"/>
      </w:pPr>
      <w:bookmarkStart w:id="23" w:name="_Toc7"/>
      <w:r>
        <w:rPr>
          <w:rFonts w:hint="eastAsia" w:ascii="宋体" w:eastAsia="宋体"/>
          <w:b/>
          <w:color w:val="000000"/>
          <w:sz w:val="28"/>
          <w:szCs w:val="28"/>
          <w:shd w:val="clear" w:color="auto" w:fill="FFFFFF"/>
        </w:rPr>
        <w:t>3. 各层等效尺寸</w:t>
      </w:r>
      <w:bookmarkEnd w:id="23"/>
    </w:p>
    <w:p>
      <w:pPr>
        <w:spacing w:beforeLines="113" w:afterLines="113" w:line="113" w:lineRule="auto"/>
        <w:jc w:val="center"/>
      </w:pPr>
      <w:r>
        <w:rPr>
          <w:rFonts w:hint="eastAsia" w:ascii="黑体" w:eastAsia="黑体"/>
          <w:b/>
          <w:color w:val="000000"/>
          <w:sz w:val="26"/>
          <w:szCs w:val="26"/>
          <w:shd w:val="clear" w:color="auto" w:fill="FFFFFF"/>
        </w:rPr>
        <w:t>表5-5 各层等效尺寸(单位:m,m^2)</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89"/>
        <w:gridCol w:w="883"/>
        <w:gridCol w:w="936"/>
        <w:gridCol w:w="936"/>
        <w:gridCol w:w="1206"/>
        <w:gridCol w:w="883"/>
        <w:gridCol w:w="883"/>
        <w:gridCol w:w="883"/>
        <w:gridCol w:w="884"/>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层高</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累计层高</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面积</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形心X,Y</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等效宽B</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等效高H</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最大宽BMAX</w:t>
            </w:r>
          </w:p>
        </w:tc>
        <w:tc>
          <w:tcPr>
            <w:tcW w:w="907"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最小宽BMIN</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5.400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21.300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386.37</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12.15,7.95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24.30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15.90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24.30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15.90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5.400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21.300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772.74</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49.10,7.95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48.60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15.90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48.60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15.90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5.400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21.300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643.95</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94.15,7.95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40.50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15.90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40.50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15.90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359.64</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12.90,7.60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23.13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15.74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23.28</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15.52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736.44</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50.16,7.72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46.78</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15.80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46.80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15.74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580.92</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94.40,7.45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37.44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15.63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37.44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15.62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12.000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359.64</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12.90,7.60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23.13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15.74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23.28</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15.52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12.000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736.44</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50.16,7.72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46.78</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15.80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46.80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15.74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12.000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580.92</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94.40,7.45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37.44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15.63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37.44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15.62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8.100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359.64</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12.90,7.60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23.13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15.74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23.28</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15.52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8.100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736.44</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50.16,7.72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46.78</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15.80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46.80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15.74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3.900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8.100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580.92</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94.40,7.45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37.44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15.63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37.44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15.62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4.200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4.200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359.64</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12.90,7.60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23.13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15.74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23.28</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15.52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4.200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4.200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772.89</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49.54,7.25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46.72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17.10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46.81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16.84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4.200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4.200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617.37</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93.43,6.87</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38.77</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17.14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38.93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16.78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4.500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0.000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102.06</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4.58,6.73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7.89</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14.89</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15.17</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7.34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4.500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0.000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0.00</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 xml:space="preserve">  0.00,0.00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0.00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0.00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0.00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4.500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0.000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199.26</w:t>
            </w:r>
          </w:p>
        </w:tc>
        <w:tc>
          <w:tcPr>
            <w:tcW w:w="907" w:type="dxa"/>
            <w:shd w:val="clear" w:color="auto" w:fill="FFFFFF"/>
            <w:vAlign w:val="center"/>
          </w:tcPr>
          <w:p>
            <w:pPr>
              <w:jc w:val="center"/>
            </w:pPr>
            <w:r>
              <w:rPr>
                <w:rFonts w:hint="eastAsia" w:ascii="宋体" w:eastAsia="宋体"/>
                <w:b w:val="0"/>
                <w:color w:val="000000"/>
                <w:sz w:val="18"/>
                <w:szCs w:val="18"/>
                <w:shd w:val="clear" w:color="auto" w:fill="FFFFFF"/>
              </w:rPr>
              <w:t>100.89,4.83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21.92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9.43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21.95</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 xml:space="preserve"> 9.35</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表5-6 各层的柱、墙面积信息(单位:m^2)</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669"/>
        <w:gridCol w:w="1020"/>
        <w:gridCol w:w="1776"/>
        <w:gridCol w:w="1776"/>
        <w:gridCol w:w="1386"/>
        <w:gridCol w:w="1776"/>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7"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楼层面积</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柱面积</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墙面积</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X向墙面积</w:t>
            </w:r>
          </w:p>
        </w:tc>
        <w:tc>
          <w:tcPr>
            <w:tcW w:w="1247"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Y向墙面积</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386.37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5.30( 1.37%)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772.74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6.50( 0.84%)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643.95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7.04( 1.09%)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359.64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5.90( 1.64%)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736.44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9.48( 1.29%)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580.92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9.28( 1.60%)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359.64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6.12( 1.70%)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736.44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9.48( 1.29%)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580.92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10.21( 1.76%)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359.64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6.22( 1.73%)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736.44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9.72( 1.32%)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580.92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10.75( 1.85%)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359.64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6.56( 1.82%)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772.89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11.20( 1.45%)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617.37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11.71( 1.90%)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102.06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6.69( 6.55%)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14.58(14.29%)</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4.98( 4.88%)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9.60( 9.41%)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11.60( 0.00%)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 xml:space="preserve"> 0.00( 0.00%)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0.00( 0.00%)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199.26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11.88( 5.96%)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28.26(14.18%)</w:t>
            </w:r>
          </w:p>
        </w:tc>
        <w:tc>
          <w:tcPr>
            <w:tcW w:w="1247" w:type="dxa"/>
            <w:shd w:val="clear" w:color="auto" w:fill="FFFFFF"/>
            <w:vAlign w:val="center"/>
          </w:tcPr>
          <w:p>
            <w:pPr>
              <w:jc w:val="center"/>
            </w:pPr>
            <w:r>
              <w:rPr>
                <w:rFonts w:hint="eastAsia" w:ascii="宋体" w:eastAsia="宋体"/>
                <w:b w:val="0"/>
                <w:color w:val="000000"/>
                <w:sz w:val="18"/>
                <w:szCs w:val="18"/>
                <w:shd w:val="clear" w:color="auto" w:fill="FFFFFF"/>
              </w:rPr>
              <w:t>14.70( 7.38%)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13.56( 6.81%)</w:t>
            </w:r>
          </w:p>
        </w:tc>
      </w:tr>
    </w:tbl>
    <w:p>
      <w:pPr>
        <w:spacing w:beforeLines="113" w:afterLines="113" w:line="113" w:lineRule="auto"/>
        <w:jc w:val="left"/>
      </w:pPr>
    </w:p>
    <w:p>
      <w:pPr>
        <w:pStyle w:val="3"/>
        <w:jc w:val="left"/>
      </w:pPr>
      <w:bookmarkStart w:id="24" w:name="_Toc8"/>
      <w:r>
        <w:rPr>
          <w:rFonts w:hint="eastAsia" w:ascii="宋体" w:eastAsia="宋体"/>
          <w:b/>
          <w:color w:val="000000"/>
          <w:sz w:val="28"/>
          <w:szCs w:val="28"/>
          <w:shd w:val="clear" w:color="auto" w:fill="FFFFFF"/>
        </w:rPr>
        <w:t>4. 层塔属性</w:t>
      </w:r>
      <w:bookmarkEnd w:id="24"/>
    </w:p>
    <w:p>
      <w:pPr>
        <w:spacing w:beforeLines="113" w:afterLines="113" w:line="113" w:lineRule="auto"/>
        <w:jc w:val="center"/>
      </w:pPr>
      <w:r>
        <w:rPr>
          <w:rFonts w:hint="eastAsia" w:ascii="黑体" w:eastAsia="黑体"/>
          <w:b/>
          <w:color w:val="000000"/>
          <w:sz w:val="26"/>
          <w:szCs w:val="26"/>
          <w:shd w:val="clear" w:color="auto" w:fill="FFFFFF"/>
        </w:rPr>
        <w:t>表5-7 楼层属性表</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907"/>
        <w:gridCol w:w="907"/>
        <w:gridCol w:w="907"/>
        <w:gridCol w:w="907"/>
        <w:gridCol w:w="907"/>
        <w:gridCol w:w="907"/>
        <w:gridCol w:w="907"/>
        <w:gridCol w:w="908"/>
        <w:gridCol w:w="908"/>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约束边缘构件层</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过渡层</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底部加强区楼层</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转换层</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加强层</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薄弱层</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顶部小塔楼</w:t>
            </w:r>
          </w:p>
        </w:tc>
        <w:tc>
          <w:tcPr>
            <w:tcW w:w="907"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输出位移比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4-6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w:t>
            </w: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w:t>
            </w:r>
          </w:p>
        </w:tc>
        <w:tc>
          <w:tcPr>
            <w:tcW w:w="907" w:type="dxa"/>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w:t>
            </w: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w:t>
            </w:r>
          </w:p>
        </w:tc>
      </w:tr>
    </w:tbl>
    <w:p>
      <w:pPr>
        <w:spacing w:beforeLines="113" w:afterLines="113" w:line="113" w:lineRule="auto"/>
        <w:jc w:val="center"/>
      </w:pPr>
      <w:r>
        <w:rPr>
          <w:rFonts w:hint="eastAsia" w:ascii="黑体" w:eastAsia="黑体"/>
          <w:b/>
          <w:color w:val="000000"/>
          <w:sz w:val="26"/>
          <w:szCs w:val="26"/>
          <w:shd w:val="clear" w:color="auto" w:fill="FFFFFF"/>
        </w:rPr>
        <w:t>表5-7 楼层属性表</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024"/>
        <w:gridCol w:w="3024"/>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PrEx>
        <w:trPr>
          <w:tblHeader/>
          <w:jc w:val="center"/>
        </w:trPr>
        <w:tc>
          <w:tcPr>
            <w:tcW w:w="3005"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3005"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3005"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结构镂空</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shd w:val="clear" w:color="auto" w:fill="FFFFFF"/>
            <w:vAlign w:val="center"/>
          </w:tcPr>
          <w:p>
            <w:pPr>
              <w:jc w:val="center"/>
            </w:pPr>
            <w:r>
              <w:rPr>
                <w:rFonts w:hint="eastAsia" w:ascii="宋体" w:eastAsia="宋体"/>
                <w:b w:val="0"/>
                <w:color w:val="000000"/>
                <w:sz w:val="24"/>
                <w:szCs w:val="24"/>
                <w:shd w:val="clear" w:color="auto" w:fill="FFFFFF"/>
              </w:rPr>
              <w:t>1-6</w:t>
            </w:r>
          </w:p>
        </w:tc>
        <w:tc>
          <w:tcPr>
            <w:tcW w:w="3005"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3005" w:type="dxa"/>
            <w:shd w:val="clear" w:color="auto" w:fill="FFFFFF"/>
            <w:vAlign w:val="center"/>
          </w:tcPr>
          <w:p>
            <w:pPr>
              <w:jc w:val="center"/>
            </w:pP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表5-8 构件材料层塔属性</w:t>
      </w:r>
    </w:p>
    <w:tbl>
      <w:tblPr>
        <w:tblStyle w:val="32"/>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50"/>
        <w:gridCol w:w="1531"/>
        <w:gridCol w:w="2155"/>
        <w:gridCol w:w="1531"/>
        <w:gridCol w:w="215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PrEx>
        <w:trPr>
          <w:tblHeader/>
          <w:jc w:val="center"/>
        </w:trPr>
        <w:tc>
          <w:tcPr>
            <w:tcW w:w="850" w:type="dxa"/>
            <w:vMerge w:val="restart"/>
            <w:tcBorders>
              <w:top w:val="single" w:color="auto" w:sz="14" w:space="0"/>
              <w:left w:val="nil"/>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850" w:type="dxa"/>
            <w:vMerge w:val="restart"/>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530" w:type="dxa"/>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混凝土梁</w:t>
            </w:r>
          </w:p>
        </w:tc>
        <w:tc>
          <w:tcPr>
            <w:tcW w:w="2154" w:type="dxa"/>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混凝土柱</w:t>
            </w:r>
          </w:p>
        </w:tc>
        <w:tc>
          <w:tcPr>
            <w:tcW w:w="1530" w:type="dxa"/>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钢梁</w:t>
            </w:r>
          </w:p>
        </w:tc>
        <w:tc>
          <w:tcPr>
            <w:tcW w:w="2154" w:type="dxa"/>
            <w:tcBorders>
              <w:top w:val="single" w:color="auto" w:sz="14" w:space="0"/>
              <w:left w:val="single" w:color="auto" w:sz="4" w:space="0"/>
              <w:bottom w:val="single" w:color="auto" w:sz="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钢柱</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0" w:type="dxa"/>
            <w:vMerge w:val="continue"/>
            <w:tcBorders>
              <w:top w:val="single" w:color="auto" w:sz="4" w:space="0"/>
              <w:left w:val="nil"/>
              <w:bottom w:val="single" w:color="auto" w:sz="14" w:space="0"/>
              <w:right w:val="single" w:color="auto" w:sz="4" w:space="0"/>
            </w:tcBorders>
            <w:shd w:val="clear" w:color="auto" w:fill="FFFFFF"/>
            <w:vAlign w:val="center"/>
          </w:tcPr>
          <w:p>
            <w:pPr>
              <w:jc w:val="center"/>
            </w:pPr>
          </w:p>
        </w:tc>
        <w:tc>
          <w:tcPr>
            <w:tcW w:w="850" w:type="dxa"/>
            <w:vMerge w:val="continue"/>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p>
        </w:tc>
        <w:tc>
          <w:tcPr>
            <w:tcW w:w="153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混凝土标号</w:t>
            </w:r>
          </w:p>
        </w:tc>
        <w:tc>
          <w:tcPr>
            <w:tcW w:w="2154"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混凝土标号</w:t>
            </w:r>
          </w:p>
        </w:tc>
        <w:tc>
          <w:tcPr>
            <w:tcW w:w="153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钢号</w:t>
            </w:r>
          </w:p>
        </w:tc>
        <w:tc>
          <w:tcPr>
            <w:tcW w:w="2154" w:type="dxa"/>
            <w:tcBorders>
              <w:top w:val="single" w:color="auto" w:sz="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钢号</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vAlign w:val="center"/>
          </w:tcPr>
          <w:p>
            <w:pPr>
              <w:jc w:val="center"/>
            </w:pPr>
            <w:r>
              <w:rPr>
                <w:rFonts w:hint="eastAsia" w:ascii="宋体" w:eastAsia="宋体"/>
                <w:b w:val="0"/>
                <w:color w:val="000000"/>
                <w:sz w:val="24"/>
                <w:szCs w:val="24"/>
                <w:shd w:val="clear" w:color="auto" w:fill="FFFFFF"/>
              </w:rPr>
              <w:t>1-6</w:t>
            </w:r>
          </w:p>
        </w:tc>
        <w:tc>
          <w:tcPr>
            <w:tcW w:w="850"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530"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2154"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1530" w:type="dxa"/>
            <w:shd w:val="clear" w:color="auto" w:fill="FFFFFF"/>
            <w:vAlign w:val="center"/>
          </w:tcPr>
          <w:p>
            <w:pPr>
              <w:jc w:val="center"/>
            </w:pPr>
            <w:r>
              <w:rPr>
                <w:rFonts w:hint="eastAsia" w:ascii="宋体" w:eastAsia="宋体"/>
                <w:b w:val="0"/>
                <w:color w:val="000000"/>
                <w:sz w:val="24"/>
                <w:szCs w:val="24"/>
                <w:shd w:val="clear" w:color="auto" w:fill="FFFFFF"/>
              </w:rPr>
              <w:t>Q235</w:t>
            </w:r>
          </w:p>
        </w:tc>
        <w:tc>
          <w:tcPr>
            <w:tcW w:w="2154" w:type="dxa"/>
            <w:shd w:val="clear" w:color="auto" w:fill="FFFFFF"/>
            <w:vAlign w:val="center"/>
          </w:tcPr>
          <w:p>
            <w:pPr>
              <w:jc w:val="center"/>
            </w:pPr>
            <w:r>
              <w:rPr>
                <w:rFonts w:hint="eastAsia" w:ascii="宋体" w:eastAsia="宋体"/>
                <w:b w:val="0"/>
                <w:color w:val="000000"/>
                <w:sz w:val="24"/>
                <w:szCs w:val="24"/>
                <w:shd w:val="clear" w:color="auto" w:fill="FFFFFF"/>
              </w:rPr>
              <w:t>Q235</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表5-9 墙、支撑混凝土强度等级及钢筋强度</w:t>
      </w:r>
    </w:p>
    <w:tbl>
      <w:tblPr>
        <w:tblStyle w:val="32"/>
        <w:tblW w:w="725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1814"/>
        <w:gridCol w:w="181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vMerge w:val="restart"/>
            <w:tcBorders>
              <w:top w:val="single" w:color="auto" w:sz="14" w:space="0"/>
              <w:left w:val="nil"/>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vMerge w:val="restart"/>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814" w:type="dxa"/>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混凝土墙</w:t>
            </w:r>
          </w:p>
        </w:tc>
        <w:tc>
          <w:tcPr>
            <w:tcW w:w="1814" w:type="dxa"/>
            <w:tcBorders>
              <w:top w:val="single" w:color="auto" w:sz="14" w:space="0"/>
              <w:left w:val="single" w:color="auto" w:sz="4" w:space="0"/>
              <w:bottom w:val="single" w:color="auto" w:sz="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钢支撑</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vMerge w:val="continue"/>
            <w:tcBorders>
              <w:top w:val="single" w:color="auto" w:sz="4" w:space="0"/>
              <w:left w:val="nil"/>
              <w:bottom w:val="single" w:color="auto" w:sz="14" w:space="0"/>
              <w:right w:val="single" w:color="auto" w:sz="4" w:space="0"/>
            </w:tcBorders>
            <w:shd w:val="clear" w:color="auto" w:fill="FFFFFF"/>
            <w:vAlign w:val="center"/>
          </w:tcPr>
          <w:p>
            <w:pPr>
              <w:jc w:val="center"/>
            </w:pPr>
          </w:p>
        </w:tc>
        <w:tc>
          <w:tcPr>
            <w:tcW w:w="1814" w:type="dxa"/>
            <w:vMerge w:val="continue"/>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p>
        </w:tc>
        <w:tc>
          <w:tcPr>
            <w:tcW w:w="1814"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混凝土标号</w:t>
            </w:r>
          </w:p>
        </w:tc>
        <w:tc>
          <w:tcPr>
            <w:tcW w:w="1814" w:type="dxa"/>
            <w:tcBorders>
              <w:top w:val="single" w:color="auto" w:sz="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钢号</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C40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Q235</w:t>
            </w:r>
          </w:p>
        </w:tc>
      </w:tr>
    </w:tbl>
    <w:p>
      <w:pPr>
        <w:spacing w:beforeLines="113" w:afterLines="113" w:line="113" w:lineRule="auto"/>
        <w:jc w:val="left"/>
      </w:pPr>
    </w:p>
    <w:p>
      <w:pPr>
        <w:pStyle w:val="16"/>
        <w:jc w:val="center"/>
      </w:pPr>
      <w:bookmarkStart w:id="25" w:name="_Toc9"/>
      <w:r>
        <w:rPr>
          <w:rFonts w:hint="eastAsia" w:ascii="宋体" w:eastAsia="宋体"/>
          <w:b/>
          <w:color w:val="000000"/>
          <w:sz w:val="32"/>
          <w:szCs w:val="32"/>
          <w:shd w:val="clear" w:color="auto" w:fill="FFFFFF"/>
        </w:rPr>
        <w:t>六. 工况和组合</w:t>
      </w:r>
      <w:bookmarkEnd w:id="25"/>
    </w:p>
    <w:p>
      <w:pPr>
        <w:pStyle w:val="3"/>
        <w:jc w:val="left"/>
      </w:pPr>
      <w:bookmarkStart w:id="26" w:name="_Toc10"/>
      <w:r>
        <w:rPr>
          <w:rFonts w:hint="eastAsia" w:ascii="宋体" w:eastAsia="宋体"/>
          <w:b/>
          <w:color w:val="000000"/>
          <w:sz w:val="28"/>
          <w:szCs w:val="28"/>
          <w:shd w:val="clear" w:color="auto" w:fill="FFFFFF"/>
        </w:rPr>
        <w:t>1. 工况设定</w:t>
      </w:r>
      <w:bookmarkEnd w:id="26"/>
    </w:p>
    <w:p>
      <w:pPr>
        <w:spacing w:beforeLines="113" w:afterLines="113" w:line="113" w:lineRule="auto"/>
        <w:jc w:val="center"/>
      </w:pPr>
      <w:r>
        <w:rPr>
          <w:rFonts w:hint="eastAsia" w:ascii="黑体" w:eastAsia="黑体"/>
          <w:b/>
          <w:color w:val="000000"/>
          <w:sz w:val="26"/>
          <w:szCs w:val="26"/>
          <w:shd w:val="clear" w:color="auto" w:fill="FFFFFF"/>
        </w:rPr>
        <w:t>表6-1 工况设定</w:t>
      </w:r>
    </w:p>
    <w:tbl>
      <w:tblPr>
        <w:tblStyle w:val="30"/>
        <w:tblW w:w="816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4536"/>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工况编号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工况简称</w:t>
            </w:r>
          </w:p>
        </w:tc>
        <w:tc>
          <w:tcPr>
            <w:tcW w:w="4536"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工况详称</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DL</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恒载</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活载</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LL2</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活载2(不利负包络)</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LL3</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活载3(不利正包络)</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WX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X向风</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WY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Y向风</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X+Y地震(双向效应)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X正偏心地震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工况9</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EXM</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X负偏心地震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Y+X地震(双向效应)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Y正偏心地震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EYM</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Y负偏心地震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X静震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Y静震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PX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X正偏心静震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MX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X负偏心静震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PY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Y正偏心静震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MY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Y负偏心静震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工况19</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SP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土压力</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WP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水压力</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X向地震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Y向地震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EXO</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不利地震X向</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EYO</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不利地震Y向</w:t>
            </w:r>
          </w:p>
        </w:tc>
      </w:tr>
    </w:tbl>
    <w:p>
      <w:pPr>
        <w:spacing w:beforeLines="113" w:afterLines="113" w:line="113" w:lineRule="auto"/>
        <w:jc w:val="left"/>
      </w:pPr>
    </w:p>
    <w:p>
      <w:pPr>
        <w:pStyle w:val="3"/>
        <w:jc w:val="left"/>
      </w:pPr>
      <w:bookmarkStart w:id="27" w:name="_Toc11"/>
      <w:r>
        <w:rPr>
          <w:rFonts w:hint="eastAsia" w:ascii="宋体" w:eastAsia="宋体"/>
          <w:b/>
          <w:color w:val="000000"/>
          <w:sz w:val="28"/>
          <w:szCs w:val="28"/>
          <w:shd w:val="clear" w:color="auto" w:fill="FFFFFF"/>
        </w:rPr>
        <w:t>2. 工况信息</w:t>
      </w:r>
      <w:bookmarkEnd w:id="27"/>
    </w:p>
    <w:p>
      <w:pPr>
        <w:spacing w:beforeLines="113" w:afterLines="113" w:line="113" w:lineRule="auto"/>
        <w:jc w:val="center"/>
      </w:pPr>
      <w:r>
        <w:rPr>
          <w:rFonts w:hint="eastAsia" w:ascii="黑体" w:eastAsia="黑体"/>
          <w:b/>
          <w:color w:val="000000"/>
          <w:sz w:val="26"/>
          <w:szCs w:val="26"/>
          <w:shd w:val="clear" w:color="auto" w:fill="FFFFFF"/>
        </w:rPr>
        <w:t>表6-2 永久荷载信息</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2268"/>
        <w:gridCol w:w="2268"/>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68" w:type="dxa"/>
            <w:tcBorders>
              <w:top w:val="single" w:color="auto" w:sz="14" w:space="0"/>
              <w:left w:val="nil"/>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2268"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w:t>
            </w:r>
          </w:p>
        </w:tc>
        <w:tc>
          <w:tcPr>
            <w:tcW w:w="2268"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分项系数(有利)</w:t>
            </w:r>
          </w:p>
        </w:tc>
        <w:tc>
          <w:tcPr>
            <w:tcW w:w="2268" w:type="dxa"/>
            <w:tcBorders>
              <w:top w:val="single" w:color="auto" w:sz="14" w:space="0"/>
              <w:left w:val="single" w:color="auto" w:sz="4" w:space="0"/>
              <w:bottom w:val="single" w:color="auto" w:sz="14" w:space="0"/>
              <w:right w:val="nil"/>
            </w:tcBorders>
            <w:shd w:val="clear" w:color="auto" w:fill="FFFFFF"/>
          </w:tcPr>
          <w:p>
            <w:pPr>
              <w:jc w:val="center"/>
            </w:pPr>
            <w:r>
              <w:rPr>
                <w:rFonts w:hint="eastAsia" w:ascii="宋体" w:eastAsia="宋体"/>
                <w:b w:val="0"/>
                <w:color w:val="000000"/>
                <w:sz w:val="24"/>
                <w:szCs w:val="24"/>
                <w:shd w:val="clear" w:color="auto" w:fill="FFFFFF"/>
              </w:rPr>
              <w:t>重力荷载代表值系数</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FFFFFF"/>
            <w:vAlign w:val="center"/>
          </w:tcPr>
          <w:p>
            <w:pPr>
              <w:jc w:val="center"/>
            </w:pPr>
            <w:r>
              <w:rPr>
                <w:rFonts w:hint="eastAsia" w:ascii="宋体" w:eastAsia="宋体"/>
                <w:b w:val="0"/>
                <w:color w:val="000000"/>
                <w:sz w:val="24"/>
                <w:szCs w:val="24"/>
                <w:shd w:val="clear" w:color="auto" w:fill="FFFFFF"/>
              </w:rPr>
              <w:t>恒荷载(DL)</w:t>
            </w:r>
          </w:p>
        </w:tc>
        <w:tc>
          <w:tcPr>
            <w:tcW w:w="2268" w:type="dxa"/>
            <w:shd w:val="clear" w:color="auto" w:fill="FFFFFF"/>
          </w:tcPr>
          <w:p>
            <w:pPr>
              <w:jc w:val="center"/>
            </w:pPr>
            <w:r>
              <w:rPr>
                <w:rFonts w:hint="eastAsia" w:ascii="宋体" w:eastAsia="宋体"/>
                <w:b w:val="0"/>
                <w:color w:val="000000"/>
                <w:sz w:val="24"/>
                <w:szCs w:val="24"/>
                <w:shd w:val="clear" w:color="auto" w:fill="FFFFFF"/>
              </w:rPr>
              <w:t>1.30</w:t>
            </w:r>
          </w:p>
        </w:tc>
        <w:tc>
          <w:tcPr>
            <w:tcW w:w="2268" w:type="dxa"/>
            <w:shd w:val="clear" w:color="auto" w:fill="FFFFFF"/>
          </w:tcPr>
          <w:p>
            <w:pPr>
              <w:jc w:val="center"/>
            </w:pPr>
            <w:r>
              <w:rPr>
                <w:rFonts w:hint="eastAsia" w:ascii="宋体" w:eastAsia="宋体"/>
                <w:b w:val="0"/>
                <w:color w:val="000000"/>
                <w:sz w:val="24"/>
                <w:szCs w:val="24"/>
                <w:shd w:val="clear" w:color="auto" w:fill="FFFFFF"/>
              </w:rPr>
              <w:t>1.00</w:t>
            </w:r>
          </w:p>
        </w:tc>
        <w:tc>
          <w:tcPr>
            <w:tcW w:w="2268" w:type="dxa"/>
            <w:shd w:val="clear" w:color="auto" w:fill="FFFFFF"/>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FFFFFF"/>
            <w:vAlign w:val="center"/>
          </w:tcPr>
          <w:p>
            <w:pPr>
              <w:jc w:val="center"/>
            </w:pPr>
            <w:r>
              <w:rPr>
                <w:rFonts w:hint="eastAsia" w:ascii="宋体" w:eastAsia="宋体"/>
                <w:b w:val="0"/>
                <w:color w:val="000000"/>
                <w:sz w:val="24"/>
                <w:szCs w:val="24"/>
                <w:shd w:val="clear" w:color="auto" w:fill="FFFFFF"/>
              </w:rPr>
              <w:t>土压力(SP)</w:t>
            </w:r>
          </w:p>
        </w:tc>
        <w:tc>
          <w:tcPr>
            <w:tcW w:w="2268" w:type="dxa"/>
            <w:shd w:val="clear" w:color="auto" w:fill="FFFFFF"/>
          </w:tcPr>
          <w:p>
            <w:pPr>
              <w:jc w:val="center"/>
            </w:pPr>
            <w:r>
              <w:rPr>
                <w:rFonts w:hint="eastAsia" w:ascii="宋体" w:eastAsia="宋体"/>
                <w:b w:val="0"/>
                <w:color w:val="000000"/>
                <w:sz w:val="24"/>
                <w:szCs w:val="24"/>
                <w:shd w:val="clear" w:color="auto" w:fill="FFFFFF"/>
              </w:rPr>
              <w:t>1.30</w:t>
            </w:r>
          </w:p>
        </w:tc>
        <w:tc>
          <w:tcPr>
            <w:tcW w:w="2268" w:type="dxa"/>
            <w:shd w:val="clear" w:color="auto" w:fill="FFFFFF"/>
          </w:tcPr>
          <w:p>
            <w:pPr>
              <w:jc w:val="center"/>
            </w:pPr>
            <w:r>
              <w:rPr>
                <w:rFonts w:hint="eastAsia" w:ascii="宋体" w:eastAsia="宋体"/>
                <w:b w:val="0"/>
                <w:color w:val="000000"/>
                <w:sz w:val="24"/>
                <w:szCs w:val="24"/>
                <w:shd w:val="clear" w:color="auto" w:fill="FFFFFF"/>
              </w:rPr>
              <w:t>1.00</w:t>
            </w:r>
          </w:p>
        </w:tc>
        <w:tc>
          <w:tcPr>
            <w:tcW w:w="2268" w:type="dxa"/>
            <w:shd w:val="clear" w:color="auto" w:fill="FFFFFF"/>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表6-3 可变荷载信息</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1814"/>
        <w:gridCol w:w="1815"/>
        <w:gridCol w:w="181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抗震组合值系数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组合值系数</w:t>
            </w:r>
          </w:p>
        </w:tc>
        <w:tc>
          <w:tcPr>
            <w:tcW w:w="1814" w:type="dxa"/>
            <w:tcBorders>
              <w:top w:val="single" w:color="auto" w:sz="14" w:space="0"/>
              <w:left w:val="single" w:color="auto" w:sz="4" w:space="0"/>
              <w:bottom w:val="single" w:color="auto" w:sz="14" w:space="0"/>
              <w:right w:val="nil"/>
            </w:tcBorders>
            <w:shd w:val="clear" w:color="auto" w:fill="FFFFFF"/>
          </w:tcPr>
          <w:p>
            <w:pPr>
              <w:jc w:val="center"/>
            </w:pPr>
            <w:r>
              <w:rPr>
                <w:rFonts w:hint="eastAsia" w:ascii="宋体" w:eastAsia="宋体"/>
                <w:b w:val="0"/>
                <w:color w:val="000000"/>
                <w:sz w:val="24"/>
                <w:szCs w:val="24"/>
                <w:shd w:val="clear" w:color="auto" w:fill="FFFFFF"/>
              </w:rPr>
              <w:t>重力荷载代表值系数</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活荷载(LL)</w:t>
            </w:r>
          </w:p>
        </w:tc>
        <w:tc>
          <w:tcPr>
            <w:tcW w:w="1814" w:type="dxa"/>
            <w:shd w:val="clear" w:color="auto" w:fill="FFFFFF"/>
          </w:tcPr>
          <w:p>
            <w:pPr>
              <w:jc w:val="center"/>
            </w:pPr>
            <w:r>
              <w:rPr>
                <w:rFonts w:hint="eastAsia" w:ascii="宋体" w:eastAsia="宋体"/>
                <w:b w:val="0"/>
                <w:color w:val="000000"/>
                <w:sz w:val="24"/>
                <w:szCs w:val="24"/>
                <w:shd w:val="clear" w:color="auto" w:fill="FFFFFF"/>
              </w:rPr>
              <w:t>1.50</w:t>
            </w:r>
          </w:p>
        </w:tc>
        <w:tc>
          <w:tcPr>
            <w:tcW w:w="1814" w:type="dxa"/>
            <w:shd w:val="clear" w:color="auto" w:fill="FFFFFF"/>
          </w:tcPr>
          <w:p>
            <w:pPr>
              <w:jc w:val="center"/>
            </w:pPr>
            <w:r>
              <w:rPr>
                <w:rFonts w:hint="eastAsia" w:ascii="宋体" w:eastAsia="宋体"/>
                <w:b w:val="0"/>
                <w:color w:val="000000"/>
                <w:sz w:val="24"/>
                <w:szCs w:val="24"/>
                <w:shd w:val="clear" w:color="auto" w:fill="FFFFFF"/>
              </w:rPr>
              <w:t>--</w:t>
            </w:r>
          </w:p>
        </w:tc>
        <w:tc>
          <w:tcPr>
            <w:tcW w:w="1814" w:type="dxa"/>
            <w:shd w:val="clear" w:color="auto" w:fill="FFFFFF"/>
          </w:tcPr>
          <w:p>
            <w:pPr>
              <w:jc w:val="center"/>
            </w:pPr>
            <w:r>
              <w:rPr>
                <w:rFonts w:hint="eastAsia" w:ascii="宋体" w:eastAsia="宋体"/>
                <w:b w:val="0"/>
                <w:color w:val="000000"/>
                <w:sz w:val="24"/>
                <w:szCs w:val="24"/>
                <w:shd w:val="clear" w:color="auto" w:fill="FFFFFF"/>
              </w:rPr>
              <w:t>0.70</w:t>
            </w:r>
          </w:p>
        </w:tc>
        <w:tc>
          <w:tcPr>
            <w:tcW w:w="1814" w:type="dxa"/>
            <w:shd w:val="clear" w:color="auto" w:fill="FFFFFF"/>
          </w:tcPr>
          <w:p>
            <w:pPr>
              <w:jc w:val="center"/>
            </w:pPr>
            <w:r>
              <w:rPr>
                <w:rFonts w:hint="eastAsia" w:ascii="宋体" w:eastAsia="宋体"/>
                <w:b w:val="0"/>
                <w:color w:val="000000"/>
                <w:sz w:val="24"/>
                <w:szCs w:val="24"/>
                <w:shd w:val="clear" w:color="auto" w:fill="FFFFFF"/>
              </w:rPr>
              <w:t>0.50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风荷载(WL)</w:t>
            </w:r>
          </w:p>
        </w:tc>
        <w:tc>
          <w:tcPr>
            <w:tcW w:w="1814" w:type="dxa"/>
            <w:shd w:val="clear" w:color="auto" w:fill="FFFFFF"/>
          </w:tcPr>
          <w:p>
            <w:pPr>
              <w:jc w:val="center"/>
            </w:pPr>
            <w:r>
              <w:rPr>
                <w:rFonts w:hint="eastAsia" w:ascii="宋体" w:eastAsia="宋体"/>
                <w:b w:val="0"/>
                <w:color w:val="000000"/>
                <w:sz w:val="24"/>
                <w:szCs w:val="24"/>
                <w:shd w:val="clear" w:color="auto" w:fill="FFFFFF"/>
              </w:rPr>
              <w:t>1.50</w:t>
            </w:r>
          </w:p>
        </w:tc>
        <w:tc>
          <w:tcPr>
            <w:tcW w:w="1814" w:type="dxa"/>
            <w:shd w:val="clear" w:color="auto" w:fill="FFFFFF"/>
          </w:tcPr>
          <w:p>
            <w:pPr>
              <w:jc w:val="center"/>
            </w:pPr>
            <w:r>
              <w:rPr>
                <w:rFonts w:hint="eastAsia" w:ascii="宋体" w:eastAsia="宋体"/>
                <w:b w:val="0"/>
                <w:color w:val="000000"/>
                <w:sz w:val="24"/>
                <w:szCs w:val="24"/>
                <w:shd w:val="clear" w:color="auto" w:fill="FFFFFF"/>
              </w:rPr>
              <w:t>0.20</w:t>
            </w:r>
          </w:p>
        </w:tc>
        <w:tc>
          <w:tcPr>
            <w:tcW w:w="1814" w:type="dxa"/>
            <w:shd w:val="clear" w:color="auto" w:fill="FFFFFF"/>
          </w:tcPr>
          <w:p>
            <w:pPr>
              <w:jc w:val="center"/>
            </w:pPr>
            <w:r>
              <w:rPr>
                <w:rFonts w:hint="eastAsia" w:ascii="宋体" w:eastAsia="宋体"/>
                <w:b w:val="0"/>
                <w:color w:val="000000"/>
                <w:sz w:val="24"/>
                <w:szCs w:val="24"/>
                <w:shd w:val="clear" w:color="auto" w:fill="FFFFFF"/>
              </w:rPr>
              <w:t>0.60</w:t>
            </w:r>
          </w:p>
        </w:tc>
        <w:tc>
          <w:tcPr>
            <w:tcW w:w="181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水压力(WP)</w:t>
            </w:r>
          </w:p>
        </w:tc>
        <w:tc>
          <w:tcPr>
            <w:tcW w:w="1814" w:type="dxa"/>
            <w:shd w:val="clear" w:color="auto" w:fill="FFFFFF"/>
          </w:tcPr>
          <w:p>
            <w:pPr>
              <w:jc w:val="center"/>
            </w:pPr>
            <w:r>
              <w:rPr>
                <w:rFonts w:hint="eastAsia" w:ascii="宋体" w:eastAsia="宋体"/>
                <w:b w:val="0"/>
                <w:color w:val="000000"/>
                <w:sz w:val="24"/>
                <w:szCs w:val="24"/>
                <w:shd w:val="clear" w:color="auto" w:fill="FFFFFF"/>
              </w:rPr>
              <w:t>1.50</w:t>
            </w:r>
          </w:p>
        </w:tc>
        <w:tc>
          <w:tcPr>
            <w:tcW w:w="1814" w:type="dxa"/>
            <w:shd w:val="clear" w:color="auto" w:fill="FFFFFF"/>
          </w:tcPr>
          <w:p>
            <w:pPr>
              <w:jc w:val="center"/>
            </w:pPr>
            <w:r>
              <w:rPr>
                <w:rFonts w:hint="eastAsia" w:ascii="宋体" w:eastAsia="宋体"/>
                <w:b w:val="0"/>
                <w:color w:val="000000"/>
                <w:sz w:val="24"/>
                <w:szCs w:val="24"/>
                <w:shd w:val="clear" w:color="auto" w:fill="FFFFFF"/>
              </w:rPr>
              <w:t>--</w:t>
            </w:r>
          </w:p>
        </w:tc>
        <w:tc>
          <w:tcPr>
            <w:tcW w:w="1814" w:type="dxa"/>
            <w:shd w:val="clear" w:color="auto" w:fill="FFFFFF"/>
          </w:tcPr>
          <w:p>
            <w:pPr>
              <w:jc w:val="center"/>
            </w:pPr>
            <w:r>
              <w:rPr>
                <w:rFonts w:hint="eastAsia" w:ascii="宋体" w:eastAsia="宋体"/>
                <w:b w:val="0"/>
                <w:color w:val="000000"/>
                <w:sz w:val="24"/>
                <w:szCs w:val="24"/>
                <w:shd w:val="clear" w:color="auto" w:fill="FFFFFF"/>
              </w:rPr>
              <w:t>--</w:t>
            </w:r>
          </w:p>
        </w:tc>
        <w:tc>
          <w:tcPr>
            <w:tcW w:w="1814" w:type="dxa"/>
            <w:shd w:val="clear" w:color="auto" w:fill="FFFFFF"/>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表6-4 地震作用信息</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024"/>
        <w:gridCol w:w="3024"/>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005" w:type="dxa"/>
            <w:tcBorders>
              <w:top w:val="single" w:color="auto" w:sz="14" w:space="0"/>
              <w:left w:val="nil"/>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3005"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分项系数(主控)</w:t>
            </w:r>
          </w:p>
        </w:tc>
        <w:tc>
          <w:tcPr>
            <w:tcW w:w="3005" w:type="dxa"/>
            <w:tcBorders>
              <w:top w:val="single" w:color="auto" w:sz="14" w:space="0"/>
              <w:left w:val="single" w:color="auto" w:sz="4" w:space="0"/>
              <w:bottom w:val="single" w:color="auto" w:sz="14" w:space="0"/>
              <w:right w:val="nil"/>
            </w:tcBorders>
            <w:shd w:val="clear" w:color="auto" w:fill="FFFFFF"/>
          </w:tcPr>
          <w:p>
            <w:pPr>
              <w:jc w:val="center"/>
            </w:pPr>
            <w:r>
              <w:rPr>
                <w:rFonts w:hint="eastAsia" w:ascii="宋体" w:eastAsia="宋体"/>
                <w:b w:val="0"/>
                <w:color w:val="000000"/>
                <w:sz w:val="24"/>
                <w:szCs w:val="24"/>
                <w:shd w:val="clear" w:color="auto" w:fill="FFFFFF"/>
              </w:rPr>
              <w:t>分项系数(非主控)</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shd w:val="clear" w:color="auto" w:fill="FFFFFF"/>
          </w:tcPr>
          <w:p>
            <w:pPr>
              <w:jc w:val="center"/>
            </w:pPr>
            <w:r>
              <w:rPr>
                <w:rFonts w:hint="eastAsia" w:ascii="宋体" w:eastAsia="宋体"/>
                <w:b w:val="0"/>
                <w:color w:val="000000"/>
                <w:sz w:val="24"/>
                <w:szCs w:val="24"/>
                <w:shd w:val="clear" w:color="auto" w:fill="FFFFFF"/>
              </w:rPr>
              <w:t>水平地震(EH)</w:t>
            </w:r>
          </w:p>
        </w:tc>
        <w:tc>
          <w:tcPr>
            <w:tcW w:w="3005" w:type="dxa"/>
            <w:shd w:val="clear" w:color="auto" w:fill="FFFFFF"/>
          </w:tcPr>
          <w:p>
            <w:pPr>
              <w:jc w:val="center"/>
            </w:pPr>
            <w:r>
              <w:rPr>
                <w:rFonts w:hint="eastAsia" w:ascii="宋体" w:eastAsia="宋体"/>
                <w:b w:val="0"/>
                <w:color w:val="000000"/>
                <w:sz w:val="24"/>
                <w:szCs w:val="24"/>
                <w:shd w:val="clear" w:color="auto" w:fill="FFFFFF"/>
              </w:rPr>
              <w:t>1.40</w:t>
            </w:r>
          </w:p>
        </w:tc>
        <w:tc>
          <w:tcPr>
            <w:tcW w:w="3005" w:type="dxa"/>
            <w:shd w:val="clear" w:color="auto" w:fill="FFFFFF"/>
          </w:tcPr>
          <w:p>
            <w:pPr>
              <w:jc w:val="center"/>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pStyle w:val="16"/>
        <w:jc w:val="center"/>
      </w:pPr>
      <w:bookmarkStart w:id="28" w:name="_Toc12"/>
      <w:r>
        <w:rPr>
          <w:rFonts w:hint="eastAsia" w:ascii="宋体" w:eastAsia="宋体"/>
          <w:b/>
          <w:color w:val="000000"/>
          <w:sz w:val="32"/>
          <w:szCs w:val="32"/>
          <w:shd w:val="clear" w:color="auto" w:fill="FFFFFF"/>
        </w:rPr>
        <w:t>七. 质量信息</w:t>
      </w:r>
      <w:bookmarkEnd w:id="28"/>
    </w:p>
    <w:p>
      <w:pPr>
        <w:pStyle w:val="3"/>
        <w:jc w:val="left"/>
      </w:pPr>
      <w:bookmarkStart w:id="29" w:name="_Toc13"/>
      <w:r>
        <w:rPr>
          <w:rFonts w:hint="eastAsia" w:ascii="宋体" w:eastAsia="宋体"/>
          <w:b/>
          <w:color w:val="000000"/>
          <w:sz w:val="28"/>
          <w:szCs w:val="28"/>
          <w:shd w:val="clear" w:color="auto" w:fill="FFFFFF"/>
        </w:rPr>
        <w:t>1. 结构质量分布</w:t>
      </w:r>
      <w:bookmarkEnd w:id="29"/>
    </w:p>
    <w:p>
      <w:pPr>
        <w:spacing w:beforeLines="113" w:afterLines="113" w:line="113" w:lineRule="auto"/>
        <w:jc w:val="center"/>
      </w:pPr>
      <w:r>
        <w:rPr>
          <w:rFonts w:hint="eastAsia" w:ascii="黑体" w:eastAsia="黑体"/>
          <w:b/>
          <w:color w:val="000000"/>
          <w:sz w:val="26"/>
          <w:szCs w:val="26"/>
          <w:shd w:val="clear" w:color="auto" w:fill="FFFFFF"/>
        </w:rPr>
        <w:t>表7-1 质量分布</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969"/>
        <w:gridCol w:w="2136"/>
        <w:gridCol w:w="1257"/>
        <w:gridCol w:w="1228"/>
        <w:gridCol w:w="1257"/>
        <w:gridCol w:w="1257"/>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质心X,Y,Z(m)</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恒载质量(t)</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活载质量(t)</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层质量(t)</w:t>
            </w:r>
          </w:p>
        </w:tc>
        <w:tc>
          <w:tcPr>
            <w:tcW w:w="1360"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质量比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11.82,7.94,25.80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450.5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29.3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479.7</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0.57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48.01,8.04,25.80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1056.3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58.3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1114.6</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0.69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94.13,8.04,25.80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952.6</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48.5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1001.1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0.77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11.88,8.00,20.40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788.9</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53.4</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842.2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50.00,7.88,20.40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1430.3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176.5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1606.8</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94.70,8.06,20.40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1157.0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150.1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1307.0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11.89,8.01,16.50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688.2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53.3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741.4</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49.46,8.11,16.50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1216.5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143.1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1359.6</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94.44,8.10,16.50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1020.5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122.2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1142.6</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11.98,8.10,12.60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689.8</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53.3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743.1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49.42,8.12,12.60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1212.1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143.2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1355.3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0.93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94.47,8.08,12.60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1021.3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122.1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1143.4</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0.92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11.68,8.11, 8.70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670.0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53.2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723.2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49.03,7.51, 8.70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1306.3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144.0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1450.2</w:t>
            </w:r>
          </w:p>
        </w:tc>
        <w:tc>
          <w:tcPr>
            <w:tcW w:w="1360" w:type="dxa"/>
            <w:shd w:val="clear" w:color="auto" w:fill="FFFFFF"/>
            <w:vAlign w:val="center"/>
          </w:tcPr>
          <w:p>
            <w:pPr>
              <w:jc w:val="center"/>
            </w:pPr>
            <w:r>
              <w:rPr>
                <w:rFonts w:hint="eastAsia" w:ascii="宋体" w:eastAsia="宋体"/>
                <w:b w:val="0"/>
                <w:color w:val="FF6100"/>
                <w:sz w:val="24"/>
                <w:szCs w:val="24"/>
                <w:shd w:val="clear" w:color="auto" w:fill="FFFFFF"/>
              </w:rPr>
              <w:t>*1.73*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93.65,7.38, 8.70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1119.1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123.0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1242.1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0.95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8.66,8.17,4.50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686.4</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19.2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705.6</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48.68,7.68, 4.50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833.0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3.9</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836.9</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97.67,7.16, 4.50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1170.4</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135.8</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1306.2</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r>
        <w:rPr>
          <w:rFonts w:hint="eastAsia" w:ascii="宋体" w:eastAsia="宋体"/>
          <w:b w:val="0"/>
          <w:color w:val="000000"/>
          <w:sz w:val="24"/>
          <w:szCs w:val="24"/>
          <w:shd w:val="clear" w:color="auto" w:fill="FFFFFF"/>
        </w:rPr>
        <w:t>*代表该楼层质量比不满足高规3.5.6条的限值1.50</w:t>
      </w:r>
    </w:p>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恒载产生的总质量 (t):    17468.904</w:t>
      </w:r>
    </w:p>
    <w:p>
      <w:pPr>
        <w:spacing w:beforeLines="113" w:afterLines="113" w:line="113" w:lineRule="auto"/>
        <w:jc w:val="left"/>
      </w:pPr>
      <w:r>
        <w:rPr>
          <w:rFonts w:hint="eastAsia" w:ascii="宋体" w:eastAsia="宋体"/>
          <w:b w:val="0"/>
          <w:color w:val="000000"/>
          <w:sz w:val="24"/>
          <w:szCs w:val="24"/>
          <w:shd w:val="clear" w:color="auto" w:fill="FFFFFF"/>
        </w:rPr>
        <w:t>活载产生的总质量 (t):    1632.259</w:t>
      </w:r>
    </w:p>
    <w:p>
      <w:pPr>
        <w:spacing w:beforeLines="113" w:afterLines="113" w:line="113" w:lineRule="auto"/>
        <w:jc w:val="left"/>
      </w:pPr>
      <w:r>
        <w:rPr>
          <w:rFonts w:hint="eastAsia" w:ascii="宋体" w:eastAsia="宋体"/>
          <w:b w:val="0"/>
          <w:color w:val="000000"/>
          <w:sz w:val="24"/>
          <w:szCs w:val="24"/>
          <w:shd w:val="clear" w:color="auto" w:fill="FFFFFF"/>
        </w:rPr>
        <w:t>结构的总质量 (t):        19101.163</w:t>
      </w:r>
    </w:p>
    <w:p>
      <w:pPr>
        <w:spacing w:beforeLines="113" w:afterLines="113" w:line="113" w:lineRule="auto"/>
        <w:jc w:val="left"/>
      </w:pPr>
      <w:r>
        <w:rPr>
          <w:rFonts w:hint="eastAsia" w:ascii="宋体" w:eastAsia="宋体"/>
          <w:b w:val="0"/>
          <w:color w:val="000000"/>
          <w:sz w:val="24"/>
          <w:szCs w:val="24"/>
          <w:shd w:val="clear" w:color="auto" w:fill="FFFFFF"/>
        </w:rPr>
        <w:t>恒载产生的总质量包括结构自重和外加恒载</w:t>
      </w:r>
    </w:p>
    <w:p>
      <w:pPr>
        <w:spacing w:beforeLines="113" w:afterLines="113" w:line="113" w:lineRule="auto"/>
        <w:jc w:val="left"/>
      </w:pPr>
      <w:r>
        <w:rPr>
          <w:rFonts w:hint="eastAsia" w:ascii="宋体" w:eastAsia="宋体"/>
          <w:b w:val="0"/>
          <w:color w:val="000000"/>
          <w:sz w:val="24"/>
          <w:szCs w:val="24"/>
          <w:shd w:val="clear" w:color="auto" w:fill="FFFFFF"/>
        </w:rPr>
        <w:t>结构总质量包括恒载、活载产生的质量和附加质量以及自定义工况荷载产生的质量</w:t>
      </w:r>
    </w:p>
    <w:p>
      <w:pPr>
        <w:spacing w:beforeLines="113" w:afterLines="113" w:line="113" w:lineRule="auto"/>
        <w:jc w:val="left"/>
      </w:pPr>
      <w:r>
        <w:rPr>
          <w:rFonts w:hint="eastAsia" w:ascii="宋体" w:eastAsia="宋体"/>
          <w:b w:val="0"/>
          <w:color w:val="000000"/>
          <w:sz w:val="24"/>
          <w:szCs w:val="24"/>
          <w:shd w:val="clear" w:color="auto" w:fill="FFFFFF"/>
        </w:rPr>
        <w:t>活载产生的总质量、自定义工况荷载产生的总质量和结构的总质量是活载折减后的结果 (1t = 1000kg)</w:t>
      </w:r>
    </w:p>
    <w:p>
      <w:pPr>
        <w:spacing w:beforeLines="113" w:afterLines="113" w:line="113" w:lineRule="auto"/>
        <w:jc w:val="left"/>
      </w:pPr>
      <w:r>
        <w:rPr>
          <w:rFonts w:hint="eastAsia" w:ascii="宋体" w:eastAsia="宋体"/>
          <w:b w:val="0"/>
          <w:color w:val="0000FF"/>
          <w:sz w:val="24"/>
          <w:szCs w:val="24"/>
          <w:shd w:val="clear" w:color="auto" w:fill="FFFFFF"/>
        </w:rPr>
        <w:t>地下室不参与质量比超限判断</w:t>
      </w:r>
    </w:p>
    <w:p>
      <w:pPr>
        <w:spacing w:beforeLines="113" w:afterLines="113" w:line="113" w:lineRule="auto"/>
        <w:jc w:val="left"/>
      </w:pPr>
    </w:p>
    <w:p>
      <w:pPr>
        <w:spacing w:beforeLines="113" w:afterLines="113" w:line="113" w:lineRule="auto"/>
        <w:jc w:val="left"/>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ascii="宋体" w:eastAsia="宋体"/>
          <w:b w:val="0"/>
          <w:color w:val="000000"/>
          <w:sz w:val="24"/>
          <w:szCs w:val="24"/>
          <w:shd w:val="clear" w:color="auto" w:fill="FFFFFF"/>
        </w:rPr>
        <w:t>图7-1 恒载,活载,层质量分布曲线(塔1)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宋体" w:eastAsia="宋体"/>
          <w:b w:val="0"/>
          <w:color w:val="000000"/>
          <w:sz w:val="24"/>
          <w:szCs w:val="24"/>
          <w:shd w:val="clear" w:color="auto" w:fill="FFFFFF"/>
        </w:rPr>
        <w:t>图7-2 质量比分布曲线(塔1)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ascii="宋体" w:eastAsia="宋体"/>
          <w:b w:val="0"/>
          <w:color w:val="000000"/>
          <w:sz w:val="24"/>
          <w:szCs w:val="24"/>
          <w:shd w:val="clear" w:color="auto" w:fill="FFFFFF"/>
        </w:rPr>
        <w:t>图7-3 恒载,活载,层质量分布曲线(塔2)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ascii="宋体" w:eastAsia="宋体"/>
          <w:b w:val="0"/>
          <w:color w:val="000000"/>
          <w:sz w:val="24"/>
          <w:szCs w:val="24"/>
          <w:shd w:val="clear" w:color="auto" w:fill="FFFFFF"/>
        </w:rPr>
        <w:t>图7-4 质量比分布曲线(塔2)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eastAsia" w:ascii="宋体" w:eastAsia="宋体"/>
          <w:b w:val="0"/>
          <w:color w:val="000000"/>
          <w:sz w:val="24"/>
          <w:szCs w:val="24"/>
          <w:shd w:val="clear" w:color="auto" w:fill="FFFFFF"/>
        </w:rPr>
        <w:t>图7-5 恒载,活载,层质量分布曲线(塔3)</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hint="eastAsia" w:ascii="宋体" w:eastAsia="宋体"/>
          <w:b w:val="0"/>
          <w:color w:val="000000"/>
          <w:sz w:val="24"/>
          <w:szCs w:val="24"/>
          <w:shd w:val="clear" w:color="auto" w:fill="FFFFFF"/>
        </w:rPr>
        <w:t>图7-6 质量比分布曲线(塔3)</w:t>
      </w:r>
    </w:p>
    <w:p>
      <w:pPr>
        <w:spacing w:beforeLines="113" w:afterLines="113" w:line="113" w:lineRule="auto"/>
        <w:jc w:val="center"/>
      </w:pPr>
    </w:p>
    <w:p>
      <w:pPr>
        <w:pStyle w:val="3"/>
        <w:jc w:val="left"/>
      </w:pPr>
      <w:bookmarkStart w:id="30" w:name="_Toc14"/>
      <w:r>
        <w:rPr>
          <w:rFonts w:hint="eastAsia" w:ascii="宋体" w:eastAsia="宋体"/>
          <w:b/>
          <w:color w:val="000000"/>
          <w:sz w:val="28"/>
          <w:szCs w:val="28"/>
          <w:shd w:val="clear" w:color="auto" w:fill="FFFFFF"/>
        </w:rPr>
        <w:t>2. 各层刚心、偏心率信息</w:t>
      </w:r>
      <w:bookmarkEnd w:id="30"/>
    </w:p>
    <w:p>
      <w:pPr>
        <w:spacing w:beforeLines="113" w:afterLines="113" w:line="113" w:lineRule="auto"/>
        <w:jc w:val="left"/>
      </w:pPr>
      <w:r>
        <w:rPr>
          <w:rFonts w:hint="eastAsia" w:ascii="宋体" w:eastAsia="宋体"/>
          <w:b/>
          <w:color w:val="8A2BE2"/>
          <w:sz w:val="24"/>
          <w:szCs w:val="24"/>
          <w:shd w:val="clear" w:color="auto" w:fill="FFFFFF"/>
        </w:rPr>
        <w:t xml:space="preserve">Xstif、Ystif(m):    </w:t>
      </w:r>
      <w:r>
        <w:rPr>
          <w:rFonts w:hint="eastAsia" w:ascii="宋体" w:eastAsia="宋体"/>
          <w:b w:val="0"/>
          <w:color w:val="000000"/>
          <w:sz w:val="24"/>
          <w:szCs w:val="24"/>
          <w:shd w:val="clear" w:color="auto" w:fill="FFFFFF"/>
        </w:rPr>
        <w:t>刚心的 X，Y 坐标值</w:t>
      </w:r>
    </w:p>
    <w:p>
      <w:pPr>
        <w:spacing w:beforeLines="113" w:afterLines="113" w:line="113" w:lineRule="auto"/>
        <w:jc w:val="left"/>
      </w:pPr>
      <w:r>
        <w:rPr>
          <w:rFonts w:hint="eastAsia" w:ascii="宋体" w:eastAsia="宋体"/>
          <w:b/>
          <w:color w:val="8A2BE2"/>
          <w:sz w:val="24"/>
          <w:szCs w:val="24"/>
          <w:shd w:val="clear" w:color="auto" w:fill="FFFFFF"/>
        </w:rPr>
        <w:t xml:space="preserve">Alf(Degree):        </w:t>
      </w:r>
      <w:r>
        <w:rPr>
          <w:rFonts w:hint="eastAsia" w:ascii="宋体" w:eastAsia="宋体"/>
          <w:b w:val="0"/>
          <w:color w:val="000000"/>
          <w:sz w:val="24"/>
          <w:szCs w:val="24"/>
          <w:shd w:val="clear" w:color="auto" w:fill="FFFFFF"/>
        </w:rPr>
        <w:t>层刚性主轴的方向</w:t>
      </w:r>
    </w:p>
    <w:p>
      <w:pPr>
        <w:spacing w:beforeLines="113" w:afterLines="113" w:line="113" w:lineRule="auto"/>
        <w:jc w:val="left"/>
      </w:pPr>
      <w:r>
        <w:rPr>
          <w:rFonts w:hint="eastAsia" w:ascii="宋体" w:eastAsia="宋体"/>
          <w:b/>
          <w:color w:val="8A2BE2"/>
          <w:sz w:val="24"/>
          <w:szCs w:val="24"/>
          <w:shd w:val="clear" w:color="auto" w:fill="FFFFFF"/>
        </w:rPr>
        <w:t xml:space="preserve">Eex、Eey:           </w:t>
      </w:r>
      <w:r>
        <w:rPr>
          <w:rFonts w:hint="eastAsia" w:ascii="宋体" w:eastAsia="宋体"/>
          <w:b w:val="0"/>
          <w:color w:val="000000"/>
          <w:sz w:val="24"/>
          <w:szCs w:val="24"/>
          <w:shd w:val="clear" w:color="auto" w:fill="FFFFFF"/>
        </w:rPr>
        <w:t>X，Y 方向的偏心率</w:t>
      </w:r>
    </w:p>
    <w:p>
      <w:pPr>
        <w:spacing w:beforeLines="113" w:afterLines="113" w:line="113" w:lineRule="auto"/>
        <w:jc w:val="center"/>
      </w:pPr>
      <w:r>
        <w:rPr>
          <w:rFonts w:hint="eastAsia" w:ascii="黑体" w:eastAsia="黑体"/>
          <w:b/>
          <w:color w:val="000000"/>
          <w:sz w:val="26"/>
          <w:szCs w:val="26"/>
          <w:shd w:val="clear" w:color="auto" w:fill="FFFFFF"/>
        </w:rPr>
        <w:t>表7-2 各层刚心、偏心率信息</w:t>
      </w:r>
    </w:p>
    <w:tbl>
      <w:tblPr>
        <w:tblStyle w:val="30"/>
        <w:tblW w:w="816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166"/>
        <w:gridCol w:w="1166"/>
        <w:gridCol w:w="1166"/>
        <w:gridCol w:w="1166"/>
        <w:gridCol w:w="1167"/>
        <w:gridCol w:w="1167"/>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Xstif</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Ystif</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Alf</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Eex</w:t>
            </w:r>
          </w:p>
        </w:tc>
        <w:tc>
          <w:tcPr>
            <w:tcW w:w="113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Eey</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10.27</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7.67</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13.82%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2.35%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48.12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8.31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0.61%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1.46%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94.37</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7.68</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1.40%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12.08</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7.40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1.72%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5.26%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48.24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8.14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9.63%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1.44%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92.54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7.63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13.19%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2.61%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12.08</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7.95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1.72%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0.57%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48.24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8.14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6.66%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0.19%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96.50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7.65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11.44%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2.60%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12.08</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7.67</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0.90%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3.94%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48.27</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7.69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6.38%</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2.40%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95.57</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7.69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6.12%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2.29%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12.09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7.95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3.86%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1.50%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48.42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7.70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3.50%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95.05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7.36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7.95%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0.11%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4.23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7.93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47.77%</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3.54%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49.70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7.72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5.87%</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0.22%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101.50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6.70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31.69%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3.84%</w:t>
            </w:r>
          </w:p>
        </w:tc>
      </w:tr>
    </w:tbl>
    <w:p>
      <w:pPr>
        <w:spacing w:beforeLines="113" w:afterLines="113" w:line="113" w:lineRule="auto"/>
        <w:jc w:val="left"/>
      </w:pPr>
    </w:p>
    <w:p>
      <w:pPr>
        <w:spacing w:beforeLines="113" w:afterLines="113" w:line="113" w:lineRule="auto"/>
        <w:jc w:val="left"/>
      </w:pPr>
    </w:p>
    <w:p>
      <w:pPr>
        <w:pStyle w:val="16"/>
        <w:jc w:val="center"/>
      </w:pPr>
      <w:bookmarkStart w:id="31" w:name="_Toc15"/>
      <w:r>
        <w:rPr>
          <w:rFonts w:hint="eastAsia" w:ascii="宋体" w:eastAsia="宋体"/>
          <w:b/>
          <w:color w:val="000000"/>
          <w:sz w:val="32"/>
          <w:szCs w:val="32"/>
          <w:shd w:val="clear" w:color="auto" w:fill="FFFFFF"/>
        </w:rPr>
        <w:t>八. 荷载信息</w:t>
      </w:r>
      <w:bookmarkEnd w:id="31"/>
    </w:p>
    <w:p>
      <w:pPr>
        <w:pStyle w:val="3"/>
        <w:jc w:val="left"/>
      </w:pPr>
      <w:bookmarkStart w:id="32" w:name="_Toc16"/>
      <w:r>
        <w:rPr>
          <w:rFonts w:hint="eastAsia" w:ascii="宋体" w:eastAsia="宋体"/>
          <w:b/>
          <w:color w:val="000000"/>
          <w:sz w:val="28"/>
          <w:szCs w:val="28"/>
          <w:shd w:val="clear" w:color="auto" w:fill="FFFFFF"/>
        </w:rPr>
        <w:t>1. 风荷载信息</w:t>
      </w:r>
      <w:bookmarkEnd w:id="32"/>
    </w:p>
    <w:p>
      <w:pPr>
        <w:spacing w:beforeLines="113" w:afterLines="113" w:line="113" w:lineRule="auto"/>
        <w:jc w:val="left"/>
      </w:pPr>
      <w:bookmarkStart w:id="33" w:name="X向风"/>
      <w:bookmarkEnd w:id="33"/>
      <w:r>
        <w:rPr>
          <w:rFonts w:hint="eastAsia" w:ascii="宋体" w:eastAsia="宋体"/>
          <w:b w:val="0"/>
          <w:color w:val="000000"/>
          <w:sz w:val="24"/>
          <w:szCs w:val="24"/>
          <w:shd w:val="clear" w:color="auto" w:fill="FFFFFF"/>
        </w:rPr>
        <w:t>风压单位:              kN/m2</w:t>
      </w:r>
    </w:p>
    <w:p>
      <w:pPr>
        <w:spacing w:beforeLines="113" w:afterLines="113" w:line="113" w:lineRule="auto"/>
        <w:jc w:val="left"/>
      </w:pPr>
      <w:r>
        <w:rPr>
          <w:rFonts w:hint="eastAsia" w:ascii="宋体" w:eastAsia="宋体"/>
          <w:b w:val="0"/>
          <w:color w:val="000000"/>
          <w:sz w:val="24"/>
          <w:szCs w:val="24"/>
          <w:shd w:val="clear" w:color="auto" w:fill="FFFFFF"/>
        </w:rPr>
        <w:t>迎风面积单位:          m2</w:t>
      </w:r>
    </w:p>
    <w:p>
      <w:pPr>
        <w:spacing w:beforeLines="113" w:afterLines="113" w:line="113" w:lineRule="auto"/>
        <w:jc w:val="left"/>
      </w:pPr>
      <w:r>
        <w:rPr>
          <w:rFonts w:hint="eastAsia" w:ascii="宋体" w:eastAsia="宋体"/>
          <w:b w:val="0"/>
          <w:color w:val="000000"/>
          <w:sz w:val="24"/>
          <w:szCs w:val="24"/>
          <w:shd w:val="clear" w:color="auto" w:fill="FFFFFF"/>
        </w:rPr>
        <w:t>本层风荷、楼层剪力单位:kN</w:t>
      </w:r>
    </w:p>
    <w:p>
      <w:pPr>
        <w:spacing w:beforeLines="113" w:afterLines="113" w:line="113" w:lineRule="auto"/>
        <w:jc w:val="left"/>
      </w:pPr>
      <w:r>
        <w:rPr>
          <w:rFonts w:hint="eastAsia" w:ascii="宋体" w:eastAsia="宋体"/>
          <w:b w:val="0"/>
          <w:color w:val="000000"/>
          <w:sz w:val="24"/>
          <w:szCs w:val="24"/>
          <w:shd w:val="clear" w:color="auto" w:fill="FFFFFF"/>
        </w:rPr>
        <w:t>楼层弯矩单位:          kN.m</w:t>
      </w:r>
    </w:p>
    <w:p>
      <w:pPr>
        <w:spacing w:beforeLines="113" w:afterLines="113" w:line="113" w:lineRule="auto"/>
        <w:jc w:val="center"/>
      </w:pPr>
      <w:r>
        <w:rPr>
          <w:rFonts w:hint="eastAsia" w:ascii="黑体" w:eastAsia="黑体"/>
          <w:b/>
          <w:color w:val="000000"/>
          <w:sz w:val="26"/>
          <w:szCs w:val="26"/>
          <w:shd w:val="clear" w:color="auto" w:fill="FFFFFF"/>
        </w:rPr>
        <w:t>表8-1 X向风荷载信息</w:t>
      </w:r>
    </w:p>
    <w:tbl>
      <w:tblPr>
        <w:tblStyle w:val="30"/>
        <w:tblW w:w="725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09"/>
        <w:gridCol w:w="1209"/>
        <w:gridCol w:w="1210"/>
        <w:gridCol w:w="1210"/>
        <w:gridCol w:w="1210"/>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0"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本层风荷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楼层剪力</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楼层弯矩</w:t>
            </w:r>
          </w:p>
        </w:tc>
        <w:tc>
          <w:tcPr>
            <w:tcW w:w="1190"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风振系数</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94.6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94.6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511.1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57.9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152.5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1105.9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50.3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202.8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1897.0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44.1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246.9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2860.1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42.6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289.6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4076.2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54.3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301.3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4125.4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289.6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5379.2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301.3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5481.1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w:t>
            </w:r>
          </w:p>
        </w:tc>
      </w:tr>
    </w:tbl>
    <w:p>
      <w:pPr>
        <w:spacing w:beforeLines="113" w:afterLines="113" w:line="113" w:lineRule="auto"/>
        <w:jc w:val="left"/>
      </w:pPr>
    </w:p>
    <w:p>
      <w:pPr>
        <w:spacing w:beforeLines="113" w:afterLines="113" w:line="113" w:lineRule="auto"/>
        <w:jc w:val="center"/>
      </w:pPr>
      <w:bookmarkStart w:id="34" w:name="Y向风"/>
      <w:bookmarkEnd w:id="34"/>
      <w:r>
        <w:rPr>
          <w:rFonts w:hint="eastAsia" w:ascii="黑体" w:eastAsia="黑体"/>
          <w:b/>
          <w:color w:val="000000"/>
          <w:sz w:val="26"/>
          <w:szCs w:val="26"/>
          <w:shd w:val="clear" w:color="auto" w:fill="FFFFFF"/>
        </w:rPr>
        <w:t>表8-2 Y向风荷载信息</w:t>
      </w:r>
    </w:p>
    <w:tbl>
      <w:tblPr>
        <w:tblStyle w:val="30"/>
        <w:tblW w:w="725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09"/>
        <w:gridCol w:w="1209"/>
        <w:gridCol w:w="1210"/>
        <w:gridCol w:w="1210"/>
        <w:gridCol w:w="1210"/>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0"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本层风荷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楼层剪力</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楼层弯矩</w:t>
            </w:r>
          </w:p>
        </w:tc>
        <w:tc>
          <w:tcPr>
            <w:tcW w:w="1190"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风振系数</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142.0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142.0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766.7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278.5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278.5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1504.0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231.8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231.8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1251.8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86.9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228.9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1659.4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170.8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449.3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3256.3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142.1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373.9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2710.1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75.5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304.4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2846.5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148.7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598.1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5588.7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123.8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497.8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4651.3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66.3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370.7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4292.1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131.0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729.0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8431.9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109.0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606.8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7017.7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64.2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434.8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6118.4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127.4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856.4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12028.8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106.1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712.9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10011.7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434.8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8075.1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856.4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15882.6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712.9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13219.5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w:t>
            </w:r>
          </w:p>
        </w:tc>
      </w:tr>
    </w:tbl>
    <w:p>
      <w:pPr>
        <w:spacing w:beforeLines="113" w:afterLines="113" w:line="113" w:lineRule="auto"/>
        <w:jc w:val="left"/>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hint="eastAsia" w:ascii="宋体" w:eastAsia="宋体"/>
          <w:b w:val="0"/>
          <w:color w:val="000000"/>
          <w:sz w:val="24"/>
          <w:szCs w:val="24"/>
          <w:shd w:val="clear" w:color="auto" w:fill="FFFFFF"/>
        </w:rPr>
        <w:t>图8-1 顺风向楼层剪力简图(塔1)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eastAsia" w:ascii="宋体" w:eastAsia="宋体"/>
          <w:b w:val="0"/>
          <w:color w:val="000000"/>
          <w:sz w:val="24"/>
          <w:szCs w:val="24"/>
          <w:shd w:val="clear" w:color="auto" w:fill="FFFFFF"/>
        </w:rPr>
        <w:t>图8-2 顺风向楼层剪力简图(塔2)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hint="eastAsia" w:ascii="宋体" w:eastAsia="宋体"/>
          <w:b w:val="0"/>
          <w:color w:val="000000"/>
          <w:sz w:val="24"/>
          <w:szCs w:val="24"/>
          <w:shd w:val="clear" w:color="auto" w:fill="FFFFFF"/>
        </w:rPr>
        <w:t>图8-3 顺风向楼层剪力简图(塔3)</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hint="eastAsia" w:ascii="宋体" w:eastAsia="宋体"/>
          <w:b w:val="0"/>
          <w:color w:val="000000"/>
          <w:sz w:val="24"/>
          <w:szCs w:val="24"/>
          <w:shd w:val="clear" w:color="auto" w:fill="FFFFFF"/>
        </w:rPr>
        <w:t>图8-4 顺风向楼层弯矩简图(塔1)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hint="eastAsia" w:ascii="宋体" w:eastAsia="宋体"/>
          <w:b w:val="0"/>
          <w:color w:val="000000"/>
          <w:sz w:val="24"/>
          <w:szCs w:val="24"/>
          <w:shd w:val="clear" w:color="auto" w:fill="FFFFFF"/>
        </w:rPr>
        <w:t>图8-5 顺风向楼层弯矩简图(塔2)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hint="eastAsia" w:ascii="宋体" w:eastAsia="宋体"/>
          <w:b w:val="0"/>
          <w:color w:val="000000"/>
          <w:sz w:val="24"/>
          <w:szCs w:val="24"/>
          <w:shd w:val="clear" w:color="auto" w:fill="FFFFFF"/>
        </w:rPr>
        <w:t>图8-6 顺风向楼层弯矩简图(塔3)</w:t>
      </w:r>
    </w:p>
    <w:p>
      <w:pPr>
        <w:spacing w:beforeLines="113" w:afterLines="113" w:line="113" w:lineRule="auto"/>
        <w:jc w:val="center"/>
      </w:pPr>
    </w:p>
    <w:p>
      <w:pPr>
        <w:pStyle w:val="16"/>
        <w:jc w:val="center"/>
      </w:pPr>
      <w:bookmarkStart w:id="35" w:name="_Toc17"/>
      <w:r>
        <w:rPr>
          <w:rFonts w:hint="eastAsia" w:ascii="宋体" w:eastAsia="宋体"/>
          <w:b/>
          <w:color w:val="000000"/>
          <w:sz w:val="32"/>
          <w:szCs w:val="32"/>
          <w:shd w:val="clear" w:color="auto" w:fill="FFFFFF"/>
        </w:rPr>
        <w:t>九. 立面规则性</w:t>
      </w:r>
      <w:bookmarkEnd w:id="35"/>
    </w:p>
    <w:p>
      <w:pPr>
        <w:pStyle w:val="3"/>
        <w:jc w:val="left"/>
      </w:pPr>
      <w:bookmarkStart w:id="36" w:name="_Toc18"/>
      <w:r>
        <w:rPr>
          <w:rFonts w:hint="eastAsia" w:ascii="宋体" w:eastAsia="宋体"/>
          <w:b/>
          <w:color w:val="000000"/>
          <w:sz w:val="28"/>
          <w:szCs w:val="28"/>
          <w:shd w:val="clear" w:color="auto" w:fill="FFFFFF"/>
        </w:rPr>
        <w:t>1. 楼层侧向剪切刚度</w:t>
      </w:r>
      <w:bookmarkEnd w:id="36"/>
    </w:p>
    <w:p>
      <w:pPr>
        <w:spacing w:beforeLines="113" w:afterLines="113" w:line="113" w:lineRule="auto"/>
        <w:jc w:val="left"/>
      </w:pPr>
      <w:r>
        <w:rPr>
          <w:rFonts w:hint="eastAsia" w:ascii="宋体" w:eastAsia="宋体"/>
          <w:b/>
          <w:color w:val="8A2BE2"/>
          <w:sz w:val="24"/>
          <w:szCs w:val="24"/>
          <w:shd w:val="clear" w:color="auto" w:fill="FFFFFF"/>
        </w:rPr>
        <w:t xml:space="preserve">Ratx，Raty(刚度比):   </w:t>
      </w:r>
      <w:r>
        <w:rPr>
          <w:rFonts w:hint="eastAsia" w:ascii="宋体" w:eastAsia="宋体"/>
          <w:b w:val="0"/>
          <w:color w:val="000000"/>
          <w:sz w:val="24"/>
          <w:szCs w:val="24"/>
          <w:shd w:val="clear" w:color="auto" w:fill="FFFFFF"/>
        </w:rPr>
        <w:t xml:space="preserve"> X，Y 方向本层塔剪切刚度与下一层相应塔剪切刚度的比值</w:t>
      </w:r>
    </w:p>
    <w:p>
      <w:pPr>
        <w:spacing w:beforeLines="113" w:afterLines="113" w:line="113" w:lineRule="auto"/>
        <w:jc w:val="left"/>
      </w:pPr>
      <w:r>
        <w:rPr>
          <w:rFonts w:hint="eastAsia" w:ascii="宋体" w:eastAsia="宋体"/>
          <w:b/>
          <w:color w:val="8A2BE2"/>
          <w:sz w:val="24"/>
          <w:szCs w:val="24"/>
          <w:shd w:val="clear" w:color="auto" w:fill="FFFFFF"/>
        </w:rPr>
        <w:t xml:space="preserve">RJX，RJY:             </w:t>
      </w:r>
      <w:r>
        <w:rPr>
          <w:rFonts w:hint="eastAsia" w:ascii="宋体" w:eastAsia="宋体"/>
          <w:b w:val="0"/>
          <w:color w:val="000000"/>
          <w:sz w:val="24"/>
          <w:szCs w:val="24"/>
          <w:shd w:val="clear" w:color="auto" w:fill="FFFFFF"/>
        </w:rPr>
        <w:t>结构总体坐标系中塔的剪切刚度</w:t>
      </w:r>
    </w:p>
    <w:p>
      <w:pPr>
        <w:spacing w:beforeLines="113" w:afterLines="113" w:line="113" w:lineRule="auto"/>
        <w:jc w:val="center"/>
      </w:pPr>
      <w:r>
        <w:rPr>
          <w:rFonts w:hint="eastAsia" w:ascii="黑体" w:eastAsia="黑体"/>
          <w:b/>
          <w:color w:val="000000"/>
          <w:sz w:val="26"/>
          <w:szCs w:val="26"/>
          <w:shd w:val="clear" w:color="auto" w:fill="FFFFFF"/>
        </w:rPr>
        <w:t>表9-1 楼层侧向剪切刚度及刚度比</w:t>
      </w:r>
    </w:p>
    <w:tbl>
      <w:tblPr>
        <w:tblStyle w:val="30"/>
        <w:tblW w:w="725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162"/>
        <w:gridCol w:w="1296"/>
        <w:gridCol w:w="1296"/>
        <w:gridCol w:w="1171"/>
        <w:gridCol w:w="1171"/>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0"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RJX(kN/m)</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RJY(kN/m)</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Ratx</w:t>
            </w:r>
          </w:p>
        </w:tc>
        <w:tc>
          <w:tcPr>
            <w:tcW w:w="1190"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Raty</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3.14e+5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3.14e+5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0.31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0.30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3.35e+5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3.35e+5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0.20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0.20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4.28e+5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4.28e+5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0.25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0.25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1.03e+6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1.04e+6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0.93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0.93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1.69e+6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1.69e+6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1.71e+6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1.75e+6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0.80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0.76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1.10e+6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1.12e+6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0.98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0.98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1.69e+6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1.69e+6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0.97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0.97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2.13e+6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2.31e+6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0.93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0.91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1.12e+6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1.14e+6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1.74e+6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1.74e+6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2.28e+6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2.53e+6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9.97e+5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1.01e+6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1.74e+6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1.74e+6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2.01e+6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2.22e+6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1.52e+7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2.86e+7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1.54e+6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1.54e+6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4.41e+7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4.10e+7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hint="eastAsia" w:ascii="宋体" w:eastAsia="宋体"/>
          <w:b w:val="0"/>
          <w:color w:val="000000"/>
          <w:sz w:val="24"/>
          <w:szCs w:val="24"/>
          <w:shd w:val="clear" w:color="auto" w:fill="FFFFFF"/>
        </w:rPr>
        <w:t>图9-1 多方向刚度简图(塔1)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hint="eastAsia" w:ascii="宋体" w:eastAsia="宋体"/>
          <w:b w:val="0"/>
          <w:color w:val="000000"/>
          <w:sz w:val="24"/>
          <w:szCs w:val="24"/>
          <w:shd w:val="clear" w:color="auto" w:fill="FFFFFF"/>
        </w:rPr>
        <w:t>图9-2 多方向刚度比简图(塔1)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hint="eastAsia" w:ascii="宋体" w:eastAsia="宋体"/>
          <w:b w:val="0"/>
          <w:color w:val="000000"/>
          <w:sz w:val="24"/>
          <w:szCs w:val="24"/>
          <w:shd w:val="clear" w:color="auto" w:fill="FFFFFF"/>
        </w:rPr>
        <w:t>图9-3 多方向刚度简图(塔2)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hint="eastAsia" w:ascii="宋体" w:eastAsia="宋体"/>
          <w:b w:val="0"/>
          <w:color w:val="000000"/>
          <w:sz w:val="24"/>
          <w:szCs w:val="24"/>
          <w:shd w:val="clear" w:color="auto" w:fill="FFFFFF"/>
        </w:rPr>
        <w:t>图9-4 多方向刚度比简图(塔2)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hint="eastAsia" w:ascii="宋体" w:eastAsia="宋体"/>
          <w:b w:val="0"/>
          <w:color w:val="000000"/>
          <w:sz w:val="24"/>
          <w:szCs w:val="24"/>
          <w:shd w:val="clear" w:color="auto" w:fill="FFFFFF"/>
        </w:rPr>
        <w:t>图9-5 多方向刚度简图(塔3)</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hint="eastAsia" w:ascii="宋体" w:eastAsia="宋体"/>
          <w:b w:val="0"/>
          <w:color w:val="000000"/>
          <w:sz w:val="24"/>
          <w:szCs w:val="24"/>
          <w:shd w:val="clear" w:color="auto" w:fill="FFFFFF"/>
        </w:rPr>
        <w:t>图9-6 多方向刚度比简图(塔3)</w:t>
      </w:r>
    </w:p>
    <w:p>
      <w:pPr>
        <w:spacing w:beforeLines="113" w:afterLines="113" w:line="113" w:lineRule="auto"/>
        <w:jc w:val="center"/>
      </w:pPr>
    </w:p>
    <w:p>
      <w:pPr>
        <w:pStyle w:val="3"/>
        <w:jc w:val="left"/>
      </w:pPr>
      <w:bookmarkStart w:id="37" w:name="_Toc19"/>
      <w:r>
        <w:rPr>
          <w:rFonts w:hint="eastAsia" w:ascii="宋体" w:eastAsia="宋体"/>
          <w:b/>
          <w:color w:val="000000"/>
          <w:sz w:val="28"/>
          <w:szCs w:val="28"/>
          <w:shd w:val="clear" w:color="auto" w:fill="FFFFFF"/>
        </w:rPr>
        <w:t>2. [楼层剪力/层间位移]刚度</w:t>
      </w:r>
      <w:bookmarkEnd w:id="37"/>
    </w:p>
    <w:p>
      <w:pPr>
        <w:spacing w:beforeLines="113" w:afterLines="113" w:line="113" w:lineRule="auto"/>
        <w:jc w:val="left"/>
      </w:pPr>
    </w:p>
    <w:p>
      <w:pPr>
        <w:jc w:val="left"/>
      </w:pPr>
      <w:r>
        <w:rPr>
          <w:rFonts w:hint="eastAsia" w:ascii="楷体" w:eastAsia="楷体"/>
          <w:b/>
          <w:color w:val="0000FF"/>
          <w:sz w:val="24"/>
          <w:szCs w:val="24"/>
          <w:shd w:val="clear" w:color="auto" w:fill="FFFFFF"/>
        </w:rPr>
        <w:t xml:space="preserve"> 《抗规》3.4.3-2条对于侧向刚度不规则的定义为：该层的侧向刚度小于相邻上一层的70%，或小于其上相邻三个楼层侧向刚度平均值的80%；结构并无侧向刚度不规则的情况。</w:t>
      </w:r>
    </w:p>
    <w:p>
      <w:pPr>
        <w:spacing w:beforeLines="113" w:afterLines="113" w:line="113" w:lineRule="auto"/>
        <w:jc w:val="left"/>
      </w:pPr>
      <w:r>
        <w:rPr>
          <w:rFonts w:hint="eastAsia" w:ascii="宋体" w:eastAsia="宋体"/>
          <w:b/>
          <w:color w:val="8A2BE2"/>
          <w:sz w:val="24"/>
          <w:szCs w:val="24"/>
          <w:shd w:val="clear" w:color="auto" w:fill="FFFFFF"/>
        </w:rPr>
        <w:t>Ratx1，Raty1(刚度比1):</w:t>
      </w:r>
      <w:r>
        <w:rPr>
          <w:rFonts w:hint="eastAsia" w:ascii="宋体" w:eastAsia="宋体"/>
          <w:b w:val="0"/>
          <w:color w:val="000000"/>
          <w:sz w:val="24"/>
          <w:szCs w:val="24"/>
          <w:shd w:val="clear" w:color="auto" w:fill="FFFFFF"/>
        </w:rPr>
        <w:t>X、Y 方向本层塔侧移刚度与上一层相应塔侧移刚度70%的比值或上三层平均侧移刚度80%的比值中之较小值(按抗规3.4.3;高规3.5.2-1)</w:t>
      </w:r>
    </w:p>
    <w:p>
      <w:pPr>
        <w:spacing w:beforeLines="113" w:afterLines="113" w:line="113" w:lineRule="auto"/>
        <w:jc w:val="left"/>
      </w:pPr>
      <w:r>
        <w:rPr>
          <w:rFonts w:hint="eastAsia" w:ascii="宋体" w:eastAsia="宋体"/>
          <w:b/>
          <w:color w:val="8A2BE2"/>
          <w:sz w:val="24"/>
          <w:szCs w:val="24"/>
          <w:shd w:val="clear" w:color="auto" w:fill="FFFFFF"/>
        </w:rPr>
        <w:t xml:space="preserve">Rat2_min:             </w:t>
      </w:r>
      <w:r>
        <w:rPr>
          <w:rFonts w:hint="eastAsia" w:ascii="宋体" w:eastAsia="宋体"/>
          <w:b w:val="0"/>
          <w:color w:val="000000"/>
          <w:sz w:val="24"/>
          <w:szCs w:val="24"/>
          <w:shd w:val="clear" w:color="auto" w:fill="FFFFFF"/>
        </w:rPr>
        <w:t>按刚度比2判断的限值</w:t>
      </w:r>
    </w:p>
    <w:p>
      <w:pPr>
        <w:spacing w:beforeLines="113" w:afterLines="113" w:line="113" w:lineRule="auto"/>
        <w:jc w:val="left"/>
      </w:pPr>
      <w:r>
        <w:rPr>
          <w:rFonts w:hint="eastAsia" w:ascii="宋体" w:eastAsia="宋体"/>
          <w:b/>
          <w:color w:val="8A2BE2"/>
          <w:sz w:val="24"/>
          <w:szCs w:val="24"/>
          <w:shd w:val="clear" w:color="auto" w:fill="FFFFFF"/>
        </w:rPr>
        <w:t xml:space="preserve">RJX，RJY:             </w:t>
      </w:r>
      <w:r>
        <w:rPr>
          <w:rFonts w:hint="eastAsia" w:ascii="宋体" w:eastAsia="宋体"/>
          <w:b w:val="0"/>
          <w:color w:val="000000"/>
          <w:sz w:val="24"/>
          <w:szCs w:val="24"/>
          <w:shd w:val="clear" w:color="auto" w:fill="FFFFFF"/>
        </w:rPr>
        <w:t>结构总体坐标系中塔的侧移刚度</w:t>
      </w:r>
    </w:p>
    <w:p>
      <w:pPr>
        <w:spacing w:beforeLines="113" w:afterLines="113" w:line="113" w:lineRule="auto"/>
        <w:jc w:val="center"/>
      </w:pPr>
      <w:r>
        <w:rPr>
          <w:rFonts w:hint="eastAsia" w:ascii="黑体" w:eastAsia="黑体"/>
          <w:b/>
          <w:color w:val="000000"/>
          <w:sz w:val="26"/>
          <w:szCs w:val="26"/>
          <w:shd w:val="clear" w:color="auto" w:fill="FFFFFF"/>
        </w:rPr>
        <w:t>表9-2 楼层刚度及刚度比</w:t>
      </w:r>
    </w:p>
    <w:tbl>
      <w:tblPr>
        <w:tblStyle w:val="30"/>
        <w:tblW w:w="725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159"/>
        <w:gridCol w:w="1296"/>
        <w:gridCol w:w="1296"/>
        <w:gridCol w:w="1174"/>
        <w:gridCol w:w="1174"/>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0"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RJX(kN/m)</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RJY(kN/m)</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Ratx1</w:t>
            </w:r>
          </w:p>
        </w:tc>
        <w:tc>
          <w:tcPr>
            <w:tcW w:w="1190"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Raty1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1.38e+5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1.27e+5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2.06e+5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1.79e+5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2.24e+5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1.95e+5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3.59e+5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3.12e+5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3.71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3.51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6.00e+5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4.75e+5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4.16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3.78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5.86e+5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4.60e+5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3.75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3.37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3.95e+5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3.43e+5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1.57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6.21e+5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5.28e+5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1.48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6.34e+5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5.40e+5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1.55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4.09e+5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3.90e+5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1.48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6.32e+5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6.00e+5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1.45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6.88e+5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6.30e+5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1.55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4.43e+5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4.24e+5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1.43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5.87e+5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6.26e+5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1.19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8.19e+5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7.22e+5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1.61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3.69e+6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2.42e+6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11.10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7.84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8.50e+5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1.35e+6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1.73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2.88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1.06e+7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4.96e+6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18.55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9.80</w:t>
            </w:r>
          </w:p>
        </w:tc>
      </w:tr>
    </w:tbl>
    <w:p>
      <w:pPr>
        <w:spacing w:beforeLines="113" w:afterLines="113" w:line="113" w:lineRule="auto"/>
        <w:jc w:val="left"/>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hint="eastAsia" w:ascii="宋体" w:eastAsia="宋体"/>
          <w:b w:val="0"/>
          <w:color w:val="000000"/>
          <w:sz w:val="24"/>
          <w:szCs w:val="24"/>
          <w:shd w:val="clear" w:color="auto" w:fill="FFFFFF"/>
        </w:rPr>
        <w:t>图9-7 多方向刚度简图(塔1)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Fonts w:hint="eastAsia" w:ascii="宋体" w:eastAsia="宋体"/>
          <w:b w:val="0"/>
          <w:color w:val="000000"/>
          <w:sz w:val="24"/>
          <w:szCs w:val="24"/>
          <w:shd w:val="clear" w:color="auto" w:fill="FFFFFF"/>
        </w:rPr>
        <w:t>图9-8 多方向刚度比1简图(塔1)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hint="eastAsia" w:ascii="宋体" w:eastAsia="宋体"/>
          <w:b w:val="0"/>
          <w:color w:val="000000"/>
          <w:sz w:val="24"/>
          <w:szCs w:val="24"/>
          <w:shd w:val="clear" w:color="auto" w:fill="FFFFFF"/>
        </w:rPr>
        <w:t>图9-9 多方向刚度简图(塔2)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hint="eastAsia" w:ascii="宋体" w:eastAsia="宋体"/>
          <w:b w:val="0"/>
          <w:color w:val="000000"/>
          <w:sz w:val="24"/>
          <w:szCs w:val="24"/>
          <w:shd w:val="clear" w:color="auto" w:fill="FFFFFF"/>
        </w:rPr>
        <w:t>图9-10 多方向刚度比1简图(塔2)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Fonts w:hint="eastAsia" w:ascii="宋体" w:eastAsia="宋体"/>
          <w:b w:val="0"/>
          <w:color w:val="000000"/>
          <w:sz w:val="24"/>
          <w:szCs w:val="24"/>
          <w:shd w:val="clear" w:color="auto" w:fill="FFFFFF"/>
        </w:rPr>
        <w:t>图9-11 多方向刚度简图(塔3)</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hint="eastAsia" w:ascii="宋体" w:eastAsia="宋体"/>
          <w:b w:val="0"/>
          <w:color w:val="000000"/>
          <w:sz w:val="24"/>
          <w:szCs w:val="24"/>
          <w:shd w:val="clear" w:color="auto" w:fill="FFFFFF"/>
        </w:rPr>
        <w:t>图9-12 多方向刚度比1简图(塔3)</w:t>
      </w:r>
    </w:p>
    <w:p>
      <w:pPr>
        <w:spacing w:beforeLines="113" w:afterLines="113" w:line="113" w:lineRule="auto"/>
        <w:jc w:val="center"/>
      </w:pPr>
    </w:p>
    <w:p>
      <w:pPr>
        <w:pStyle w:val="3"/>
        <w:jc w:val="left"/>
      </w:pPr>
      <w:bookmarkStart w:id="38" w:name="_Toc20"/>
      <w:r>
        <w:rPr>
          <w:rFonts w:hint="eastAsia" w:ascii="宋体" w:eastAsia="宋体"/>
          <w:b/>
          <w:color w:val="000000"/>
          <w:sz w:val="28"/>
          <w:szCs w:val="28"/>
          <w:shd w:val="clear" w:color="auto" w:fill="FFFFFF"/>
        </w:rPr>
        <w:t>3. [楼层剪力/层间位移]刚度(强刚)</w:t>
      </w:r>
      <w:bookmarkEnd w:id="38"/>
    </w:p>
    <w:p>
      <w:pPr>
        <w:spacing w:beforeLines="113" w:afterLines="113" w:line="113" w:lineRule="auto"/>
        <w:jc w:val="left"/>
      </w:pPr>
    </w:p>
    <w:p>
      <w:pPr>
        <w:jc w:val="left"/>
      </w:pPr>
      <w:r>
        <w:rPr>
          <w:rFonts w:hint="eastAsia" w:ascii="楷体" w:eastAsia="楷体"/>
          <w:b/>
          <w:color w:val="0000FF"/>
          <w:sz w:val="24"/>
          <w:szCs w:val="24"/>
          <w:shd w:val="clear" w:color="auto" w:fill="FFFFFF"/>
        </w:rPr>
        <w:t xml:space="preserve"> 《抗规》3.4.3-2条对于侧向刚度不规则的定义为：该层的侧向刚度小于相邻上一层的70%，或小于其上相邻三个楼层侧向刚度平均值的80%；结构并无侧向刚度不规则的情况。</w:t>
      </w:r>
    </w:p>
    <w:p>
      <w:pPr>
        <w:spacing w:beforeLines="113" w:afterLines="113" w:line="113" w:lineRule="auto"/>
        <w:jc w:val="left"/>
      </w:pPr>
      <w:r>
        <w:rPr>
          <w:rFonts w:hint="eastAsia" w:ascii="宋体" w:eastAsia="宋体"/>
          <w:b/>
          <w:color w:val="8A2BE2"/>
          <w:sz w:val="24"/>
          <w:szCs w:val="24"/>
          <w:shd w:val="clear" w:color="auto" w:fill="FFFFFF"/>
        </w:rPr>
        <w:t>Ratx1，Raty1(刚度比1):</w:t>
      </w:r>
      <w:r>
        <w:rPr>
          <w:rFonts w:hint="eastAsia" w:ascii="宋体" w:eastAsia="宋体"/>
          <w:b w:val="0"/>
          <w:color w:val="000000"/>
          <w:sz w:val="24"/>
          <w:szCs w:val="24"/>
          <w:shd w:val="clear" w:color="auto" w:fill="FFFFFF"/>
        </w:rPr>
        <w:t>X、Y 方向本层塔侧移刚度与上一层相应塔侧移刚度70%的比值或上三层平均侧移刚度80%的比值中之较小值(按抗规3.4.3;高规3.5.2-1)</w:t>
      </w:r>
    </w:p>
    <w:p>
      <w:pPr>
        <w:spacing w:beforeLines="113" w:afterLines="113" w:line="113" w:lineRule="auto"/>
        <w:jc w:val="left"/>
      </w:pPr>
      <w:r>
        <w:rPr>
          <w:rFonts w:hint="eastAsia" w:ascii="宋体" w:eastAsia="宋体"/>
          <w:b/>
          <w:color w:val="8A2BE2"/>
          <w:sz w:val="24"/>
          <w:szCs w:val="24"/>
          <w:shd w:val="clear" w:color="auto" w:fill="FFFFFF"/>
        </w:rPr>
        <w:t xml:space="preserve">Rat2_min:             </w:t>
      </w:r>
      <w:r>
        <w:rPr>
          <w:rFonts w:hint="eastAsia" w:ascii="宋体" w:eastAsia="宋体"/>
          <w:b w:val="0"/>
          <w:color w:val="000000"/>
          <w:sz w:val="24"/>
          <w:szCs w:val="24"/>
          <w:shd w:val="clear" w:color="auto" w:fill="FFFFFF"/>
        </w:rPr>
        <w:t>按刚度比2判断的限值</w:t>
      </w:r>
    </w:p>
    <w:p>
      <w:pPr>
        <w:spacing w:beforeLines="113" w:afterLines="113" w:line="113" w:lineRule="auto"/>
        <w:jc w:val="left"/>
      </w:pPr>
      <w:r>
        <w:rPr>
          <w:rFonts w:hint="eastAsia" w:ascii="宋体" w:eastAsia="宋体"/>
          <w:b/>
          <w:color w:val="8A2BE2"/>
          <w:sz w:val="24"/>
          <w:szCs w:val="24"/>
          <w:shd w:val="clear" w:color="auto" w:fill="FFFFFF"/>
        </w:rPr>
        <w:t xml:space="preserve">RJX，RJY:             </w:t>
      </w:r>
      <w:r>
        <w:rPr>
          <w:rFonts w:hint="eastAsia" w:ascii="宋体" w:eastAsia="宋体"/>
          <w:b w:val="0"/>
          <w:color w:val="000000"/>
          <w:sz w:val="24"/>
          <w:szCs w:val="24"/>
          <w:shd w:val="clear" w:color="auto" w:fill="FFFFFF"/>
        </w:rPr>
        <w:t>结构总体坐标系中塔的侧移刚度</w:t>
      </w:r>
    </w:p>
    <w:p>
      <w:pPr>
        <w:spacing w:beforeLines="113" w:afterLines="113" w:line="113" w:lineRule="auto"/>
        <w:jc w:val="center"/>
      </w:pPr>
      <w:r>
        <w:rPr>
          <w:rFonts w:hint="eastAsia" w:ascii="黑体" w:eastAsia="黑体"/>
          <w:b/>
          <w:color w:val="000000"/>
          <w:sz w:val="26"/>
          <w:szCs w:val="26"/>
          <w:shd w:val="clear" w:color="auto" w:fill="FFFFFF"/>
        </w:rPr>
        <w:t>表9-3 楼层刚度及刚度比</w:t>
      </w:r>
    </w:p>
    <w:tbl>
      <w:tblPr>
        <w:tblStyle w:val="30"/>
        <w:tblW w:w="725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159"/>
        <w:gridCol w:w="1296"/>
        <w:gridCol w:w="1296"/>
        <w:gridCol w:w="1174"/>
        <w:gridCol w:w="1174"/>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0"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RJX(kN/m)</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RJY(kN/m)</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Ratx1</w:t>
            </w:r>
          </w:p>
        </w:tc>
        <w:tc>
          <w:tcPr>
            <w:tcW w:w="1190"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Raty1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1.39e+5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1.21e+5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2.08e+5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1.81e+5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2.25e+5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2.00e+5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3.60e+5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3.16e+5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3.70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3.73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6.01e+5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4.76e+5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4.13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3.75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5.87e+5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4.68e+5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3.72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3.34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3.95e+5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3.51e+5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1.57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1.58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6.21e+5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5.28e+5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1.48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1.59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6.36e+5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5.52e+5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1.55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1.69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4.10e+5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4.00e+5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1.48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1.63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6.33e+5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6.01e+5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1.45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1.63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6.91e+5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6.47e+5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1.55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1.67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4.60e+5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4.77e+5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1.48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1.67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5.87e+5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6.35e+5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1.19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1.48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8.46e+5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8.23e+5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1.66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1.82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8.82e+6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1.28e+7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26.15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38.45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8.54e+5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1.42e+6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1.74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3.01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2.62e+7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2.02e+7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44.25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35.11</w:t>
            </w:r>
          </w:p>
        </w:tc>
      </w:tr>
    </w:tbl>
    <w:p>
      <w:pPr>
        <w:spacing w:beforeLines="113" w:afterLines="113" w:line="113" w:lineRule="auto"/>
        <w:jc w:val="left"/>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hint="eastAsia" w:ascii="宋体" w:eastAsia="宋体"/>
          <w:b w:val="0"/>
          <w:color w:val="000000"/>
          <w:sz w:val="24"/>
          <w:szCs w:val="24"/>
          <w:shd w:val="clear" w:color="auto" w:fill="FFFFFF"/>
        </w:rPr>
        <w:t>图9-13 多方向刚度简图(塔1)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rFonts w:hint="eastAsia" w:ascii="宋体" w:eastAsia="宋体"/>
          <w:b w:val="0"/>
          <w:color w:val="000000"/>
          <w:sz w:val="24"/>
          <w:szCs w:val="24"/>
          <w:shd w:val="clear" w:color="auto" w:fill="FFFFFF"/>
        </w:rPr>
        <w:t>图9-14 多方向刚度比1简图(塔1)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hint="eastAsia" w:ascii="宋体" w:eastAsia="宋体"/>
          <w:b w:val="0"/>
          <w:color w:val="000000"/>
          <w:sz w:val="24"/>
          <w:szCs w:val="24"/>
          <w:shd w:val="clear" w:color="auto" w:fill="FFFFFF"/>
        </w:rPr>
        <w:t>图9-15 多方向刚度简图(塔2)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rFonts w:hint="eastAsia" w:ascii="宋体" w:eastAsia="宋体"/>
          <w:b w:val="0"/>
          <w:color w:val="000000"/>
          <w:sz w:val="24"/>
          <w:szCs w:val="24"/>
          <w:shd w:val="clear" w:color="auto" w:fill="FFFFFF"/>
        </w:rPr>
        <w:t>图9-16 多方向刚度比1简图(塔2)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hint="eastAsia" w:ascii="宋体" w:eastAsia="宋体"/>
          <w:b w:val="0"/>
          <w:color w:val="000000"/>
          <w:sz w:val="24"/>
          <w:szCs w:val="24"/>
          <w:shd w:val="clear" w:color="auto" w:fill="FFFFFF"/>
        </w:rPr>
        <w:t>图9-17 多方向刚度简图(塔3)</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rFonts w:hint="eastAsia" w:ascii="宋体" w:eastAsia="宋体"/>
          <w:b w:val="0"/>
          <w:color w:val="000000"/>
          <w:sz w:val="24"/>
          <w:szCs w:val="24"/>
          <w:shd w:val="clear" w:color="auto" w:fill="FFFFFF"/>
        </w:rPr>
        <w:t>图9-18 多方向刚度比1简图(塔3)</w:t>
      </w:r>
    </w:p>
    <w:p>
      <w:pPr>
        <w:spacing w:beforeLines="113" w:afterLines="113" w:line="113" w:lineRule="auto"/>
        <w:jc w:val="center"/>
      </w:pPr>
    </w:p>
    <w:p>
      <w:pPr>
        <w:pStyle w:val="3"/>
        <w:jc w:val="left"/>
      </w:pPr>
      <w:bookmarkStart w:id="39" w:name="_Toc21"/>
      <w:r>
        <w:rPr>
          <w:rFonts w:hint="eastAsia" w:ascii="宋体" w:eastAsia="宋体"/>
          <w:b/>
          <w:color w:val="000000"/>
          <w:sz w:val="28"/>
          <w:szCs w:val="28"/>
          <w:shd w:val="clear" w:color="auto" w:fill="FFFFFF"/>
        </w:rPr>
        <w:t>4. 楼层薄弱层调整系数</w:t>
      </w:r>
      <w:bookmarkEnd w:id="39"/>
    </w:p>
    <w:p>
      <w:pPr>
        <w:spacing w:beforeLines="113" w:afterLines="113" w:line="113" w:lineRule="auto"/>
        <w:jc w:val="left"/>
      </w:pPr>
      <w:r>
        <w:rPr>
          <w:rFonts w:hint="eastAsia" w:ascii="宋体" w:eastAsia="宋体"/>
          <w:b/>
          <w:color w:val="8A2BE2"/>
          <w:sz w:val="24"/>
          <w:szCs w:val="24"/>
          <w:shd w:val="clear" w:color="auto" w:fill="FFFFFF"/>
        </w:rPr>
        <w:t>用户指定的薄弱层:</w:t>
      </w:r>
      <w:r>
        <w:rPr>
          <w:rFonts w:hint="eastAsia" w:ascii="宋体" w:eastAsia="宋体"/>
          <w:b w:val="0"/>
          <w:color w:val="000000"/>
          <w:sz w:val="24"/>
          <w:szCs w:val="24"/>
          <w:shd w:val="clear" w:color="auto" w:fill="FFFFFF"/>
        </w:rPr>
        <w:t>在参数及多塔定义中指定的薄弱层</w:t>
      </w:r>
    </w:p>
    <w:p>
      <w:pPr>
        <w:spacing w:beforeLines="113" w:afterLines="113" w:line="113" w:lineRule="auto"/>
        <w:jc w:val="left"/>
      </w:pPr>
      <w:r>
        <w:rPr>
          <w:rFonts w:hint="eastAsia" w:ascii="宋体" w:eastAsia="宋体"/>
          <w:b/>
          <w:color w:val="8A2BE2"/>
          <w:sz w:val="24"/>
          <w:szCs w:val="24"/>
          <w:shd w:val="clear" w:color="auto" w:fill="FFFFFF"/>
        </w:rPr>
        <w:t xml:space="preserve">软弱层:          </w:t>
      </w:r>
      <w:r>
        <w:rPr>
          <w:rFonts w:hint="eastAsia" w:ascii="宋体" w:eastAsia="宋体"/>
          <w:b w:val="0"/>
          <w:color w:val="000000"/>
          <w:sz w:val="24"/>
          <w:szCs w:val="24"/>
          <w:shd w:val="clear" w:color="auto" w:fill="FFFFFF"/>
        </w:rPr>
        <w:t>刚度比不满足规范要求的楼层</w:t>
      </w:r>
    </w:p>
    <w:p>
      <w:pPr>
        <w:spacing w:beforeLines="113" w:afterLines="113" w:line="113" w:lineRule="auto"/>
        <w:jc w:val="left"/>
      </w:pPr>
      <w:r>
        <w:rPr>
          <w:rFonts w:hint="eastAsia" w:ascii="宋体" w:eastAsia="宋体"/>
          <w:b w:val="0"/>
          <w:color w:val="000000"/>
          <w:sz w:val="24"/>
          <w:szCs w:val="24"/>
          <w:shd w:val="clear" w:color="auto" w:fill="FFFFFF"/>
        </w:rPr>
        <w:t xml:space="preserve">                 (刚度比判断方式: 抗规和高规从严判断)</w:t>
      </w:r>
    </w:p>
    <w:p>
      <w:pPr>
        <w:spacing w:beforeLines="113" w:afterLines="113" w:line="113" w:lineRule="auto"/>
        <w:jc w:val="left"/>
      </w:pPr>
      <w:r>
        <w:rPr>
          <w:rFonts w:hint="eastAsia" w:ascii="宋体" w:eastAsia="宋体"/>
          <w:b w:val="0"/>
          <w:color w:val="000000"/>
          <w:sz w:val="24"/>
          <w:szCs w:val="24"/>
          <w:shd w:val="clear" w:color="auto" w:fill="FFFFFF"/>
        </w:rPr>
        <w:t xml:space="preserve">                   (软弱层判断原则: “楼层剪力/层间位移”刚度的刚度比1)</w:t>
      </w:r>
    </w:p>
    <w:p>
      <w:pPr>
        <w:spacing w:beforeLines="113" w:afterLines="113" w:line="113" w:lineRule="auto"/>
        <w:jc w:val="left"/>
      </w:pPr>
      <w:r>
        <w:rPr>
          <w:rFonts w:hint="eastAsia" w:ascii="宋体" w:eastAsia="宋体"/>
          <w:b/>
          <w:color w:val="8A2BE2"/>
          <w:sz w:val="24"/>
          <w:szCs w:val="24"/>
          <w:shd w:val="clear" w:color="auto" w:fill="FFFFFF"/>
        </w:rPr>
        <w:t xml:space="preserve">薄弱层:          </w:t>
      </w:r>
      <w:r>
        <w:rPr>
          <w:rFonts w:hint="eastAsia" w:ascii="宋体" w:eastAsia="宋体"/>
          <w:b w:val="0"/>
          <w:color w:val="000000"/>
          <w:sz w:val="24"/>
          <w:szCs w:val="24"/>
          <w:shd w:val="clear" w:color="auto" w:fill="FFFFFF"/>
        </w:rPr>
        <w:t>受剪承载力不满足规范要求的楼层</w:t>
      </w:r>
    </w:p>
    <w:p>
      <w:pPr>
        <w:spacing w:beforeLines="113" w:afterLines="113" w:line="113" w:lineRule="auto"/>
        <w:jc w:val="left"/>
      </w:pPr>
      <w:r>
        <w:rPr>
          <w:rFonts w:hint="eastAsia" w:ascii="宋体" w:eastAsia="宋体"/>
          <w:b/>
          <w:color w:val="8A2BE2"/>
          <w:sz w:val="24"/>
          <w:szCs w:val="24"/>
          <w:shd w:val="clear" w:color="auto" w:fill="FFFFFF"/>
        </w:rPr>
        <w:t xml:space="preserve">C_def:           </w:t>
      </w:r>
      <w:r>
        <w:rPr>
          <w:rFonts w:hint="eastAsia" w:ascii="宋体" w:eastAsia="宋体"/>
          <w:b w:val="0"/>
          <w:color w:val="000000"/>
          <w:sz w:val="24"/>
          <w:szCs w:val="24"/>
          <w:shd w:val="clear" w:color="auto" w:fill="FFFFFF"/>
        </w:rPr>
        <w:t>默认的薄弱层调整系数(综合以上三项判断得到)</w:t>
      </w:r>
    </w:p>
    <w:p>
      <w:pPr>
        <w:spacing w:beforeLines="113" w:afterLines="113" w:line="113" w:lineRule="auto"/>
        <w:jc w:val="left"/>
      </w:pPr>
      <w:r>
        <w:rPr>
          <w:rFonts w:hint="eastAsia" w:ascii="宋体" w:eastAsia="宋体"/>
          <w:b/>
          <w:color w:val="8A2BE2"/>
          <w:sz w:val="24"/>
          <w:szCs w:val="24"/>
          <w:shd w:val="clear" w:color="auto" w:fill="FFFFFF"/>
        </w:rPr>
        <w:t xml:space="preserve">C_user:          </w:t>
      </w:r>
      <w:r>
        <w:rPr>
          <w:rFonts w:hint="eastAsia" w:ascii="宋体" w:eastAsia="宋体"/>
          <w:b w:val="0"/>
          <w:color w:val="000000"/>
          <w:sz w:val="24"/>
          <w:szCs w:val="24"/>
          <w:shd w:val="clear" w:color="auto" w:fill="FFFFFF"/>
        </w:rPr>
        <w:t>用户定义的薄弱层调整系数</w:t>
      </w:r>
    </w:p>
    <w:p>
      <w:pPr>
        <w:spacing w:beforeLines="113" w:afterLines="113" w:line="113" w:lineRule="auto"/>
        <w:jc w:val="left"/>
      </w:pPr>
      <w:r>
        <w:rPr>
          <w:rFonts w:hint="eastAsia" w:ascii="宋体" w:eastAsia="宋体"/>
          <w:b/>
          <w:color w:val="8A2BE2"/>
          <w:sz w:val="24"/>
          <w:szCs w:val="24"/>
          <w:shd w:val="clear" w:color="auto" w:fill="FFFFFF"/>
        </w:rPr>
        <w:t xml:space="preserve">C_final:         </w:t>
      </w:r>
      <w:r>
        <w:rPr>
          <w:rFonts w:hint="eastAsia" w:ascii="宋体" w:eastAsia="宋体"/>
          <w:b w:val="0"/>
          <w:color w:val="000000"/>
          <w:sz w:val="24"/>
          <w:szCs w:val="24"/>
          <w:shd w:val="clear" w:color="auto" w:fill="FFFFFF"/>
        </w:rPr>
        <w:t>程序综合判断最终采用的薄弱层调整系数</w:t>
      </w:r>
    </w:p>
    <w:p>
      <w:pPr>
        <w:spacing w:beforeLines="113" w:afterLines="113" w:line="113" w:lineRule="auto"/>
        <w:jc w:val="center"/>
      </w:pPr>
      <w:r>
        <w:rPr>
          <w:rFonts w:hint="eastAsia" w:ascii="黑体" w:eastAsia="黑体"/>
          <w:b/>
          <w:color w:val="000000"/>
          <w:sz w:val="26"/>
          <w:szCs w:val="26"/>
          <w:shd w:val="clear" w:color="auto" w:fill="FFFFFF"/>
        </w:rPr>
        <w:t>表9-4 薄弱层调整系数</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997"/>
        <w:gridCol w:w="997"/>
        <w:gridCol w:w="997"/>
        <w:gridCol w:w="997"/>
        <w:gridCol w:w="997"/>
        <w:gridCol w:w="997"/>
        <w:gridCol w:w="998"/>
        <w:gridCol w:w="109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3"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方向</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用户指定薄弱层</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软弱层</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薄弱层</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C_def</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C_user</w:t>
            </w:r>
          </w:p>
        </w:tc>
        <w:tc>
          <w:tcPr>
            <w:tcW w:w="963"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C_final</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1-6</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X,Y</w:t>
            </w:r>
          </w:p>
        </w:tc>
        <w:tc>
          <w:tcPr>
            <w:tcW w:w="963" w:type="dxa"/>
            <w:shd w:val="clear" w:color="auto" w:fill="FFFFFF"/>
            <w:vAlign w:val="center"/>
          </w:tcPr>
          <w:p>
            <w:pPr>
              <w:jc w:val="center"/>
            </w:pPr>
          </w:p>
        </w:tc>
        <w:tc>
          <w:tcPr>
            <w:tcW w:w="963" w:type="dxa"/>
            <w:shd w:val="clear" w:color="auto" w:fill="FFFFFF"/>
            <w:vAlign w:val="center"/>
          </w:tcPr>
          <w:p>
            <w:pPr>
              <w:jc w:val="center"/>
            </w:pPr>
          </w:p>
        </w:tc>
        <w:tc>
          <w:tcPr>
            <w:tcW w:w="963" w:type="dxa"/>
            <w:shd w:val="clear" w:color="auto" w:fill="FFFFFF"/>
            <w:vAlign w:val="center"/>
          </w:tcPr>
          <w:p>
            <w:pPr>
              <w:jc w:val="center"/>
            </w:pPr>
          </w:p>
        </w:tc>
        <w:tc>
          <w:tcPr>
            <w:tcW w:w="963" w:type="dxa"/>
            <w:shd w:val="clear" w:color="auto" w:fill="FFFFFF"/>
            <w:vAlign w:val="center"/>
          </w:tcPr>
          <w:p>
            <w:pPr>
              <w:jc w:val="center"/>
            </w:pPr>
          </w:p>
        </w:tc>
        <w:tc>
          <w:tcPr>
            <w:tcW w:w="963" w:type="dxa"/>
            <w:shd w:val="clear" w:color="auto" w:fill="FFFFFF"/>
            <w:vAlign w:val="center"/>
          </w:tcPr>
          <w:p>
            <w:pPr>
              <w:jc w:val="center"/>
            </w:pPr>
          </w:p>
        </w:tc>
        <w:tc>
          <w:tcPr>
            <w:tcW w:w="963" w:type="dxa"/>
            <w:shd w:val="clear" w:color="auto" w:fill="FFFFFF"/>
            <w:vAlign w:val="center"/>
          </w:tcPr>
          <w:p>
            <w:pPr>
              <w:jc w:val="center"/>
            </w:pPr>
          </w:p>
        </w:tc>
      </w:tr>
    </w:tbl>
    <w:p>
      <w:pPr>
        <w:spacing w:beforeLines="113" w:afterLines="113" w:line="113" w:lineRule="auto"/>
        <w:jc w:val="left"/>
      </w:pPr>
    </w:p>
    <w:p>
      <w:pPr>
        <w:pStyle w:val="16"/>
        <w:jc w:val="center"/>
      </w:pPr>
      <w:bookmarkStart w:id="40" w:name="_Toc22"/>
      <w:r>
        <w:rPr>
          <w:rFonts w:hint="eastAsia" w:ascii="宋体" w:eastAsia="宋体"/>
          <w:b/>
          <w:color w:val="000000"/>
          <w:sz w:val="32"/>
          <w:szCs w:val="32"/>
          <w:shd w:val="clear" w:color="auto" w:fill="FFFFFF"/>
        </w:rPr>
        <w:t>十. 抗震分析及调整</w:t>
      </w:r>
      <w:bookmarkEnd w:id="40"/>
    </w:p>
    <w:p>
      <w:pPr>
        <w:pStyle w:val="3"/>
        <w:jc w:val="left"/>
      </w:pPr>
      <w:bookmarkStart w:id="41" w:name="_Toc23"/>
      <w:r>
        <w:rPr>
          <w:rFonts w:hint="eastAsia" w:ascii="宋体" w:eastAsia="宋体"/>
          <w:b/>
          <w:color w:val="000000"/>
          <w:sz w:val="28"/>
          <w:szCs w:val="28"/>
          <w:shd w:val="clear" w:color="auto" w:fill="FFFFFF"/>
        </w:rPr>
        <w:t>1. 结构周期及振型方向(强刚)</w:t>
      </w:r>
      <w:bookmarkEnd w:id="41"/>
    </w:p>
    <w:p>
      <w:pPr>
        <w:spacing w:beforeLines="113" w:afterLines="113" w:line="113" w:lineRule="auto"/>
        <w:jc w:val="left"/>
      </w:pPr>
      <w:r>
        <w:rPr>
          <w:rFonts w:hint="eastAsia" w:ascii="宋体" w:eastAsia="宋体"/>
          <w:b w:val="0"/>
          <w:color w:val="000000"/>
          <w:sz w:val="24"/>
          <w:szCs w:val="24"/>
          <w:shd w:val="clear" w:color="auto" w:fill="FFFFFF"/>
        </w:rPr>
        <w:t>地震作用的最不利方向角: -22.29度</w:t>
      </w:r>
    </w:p>
    <w:p>
      <w:pPr>
        <w:spacing w:beforeLines="113" w:afterLines="113" w:line="113" w:lineRule="auto"/>
        <w:jc w:val="center"/>
      </w:pPr>
      <w:r>
        <w:rPr>
          <w:rFonts w:hint="eastAsia" w:ascii="黑体" w:eastAsia="黑体"/>
          <w:b/>
          <w:color w:val="000000"/>
          <w:sz w:val="26"/>
          <w:szCs w:val="26"/>
          <w:shd w:val="clear" w:color="auto" w:fill="FFFFFF"/>
        </w:rPr>
        <w:t>表10-1 结构周期及振型方向(强刚)</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1134"/>
        <w:gridCol w:w="1134"/>
        <w:gridCol w:w="1134"/>
        <w:gridCol w:w="1134"/>
        <w:gridCol w:w="1134"/>
        <w:gridCol w:w="1134"/>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周期(s)</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方向角(度)</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类型</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扭振成份</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X侧振成份</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Y侧振成份</w:t>
            </w:r>
          </w:p>
        </w:tc>
        <w:tc>
          <w:tcPr>
            <w:tcW w:w="113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总侧振成份</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1.1935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177.73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1.1726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87.74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0.9700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90.69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0.9643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87.71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T</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0.9385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97.10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0.9175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0.84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7</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0.9116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7.25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98%</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8</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0.7737</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94.55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T</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0.7712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100.41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T</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0.4480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91.98</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0.4402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2.02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12</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0.3751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90.10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96%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0.3609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152.26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T</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0.3574</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0.39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r>
        <w:rPr>
          <w:rFonts w:hint="eastAsia" w:ascii="宋体" w:eastAsia="宋体"/>
          <w:b w:val="0"/>
          <w:color w:val="0000FF"/>
          <w:sz w:val="24"/>
          <w:szCs w:val="24"/>
          <w:shd w:val="clear" w:color="auto" w:fill="FFFFFF"/>
        </w:rPr>
        <w:t>有蓝色底色标识位置双击可以查看图形</w:t>
      </w:r>
    </w:p>
    <w:p>
      <w:pPr>
        <w:spacing w:beforeLines="113" w:afterLines="113" w:line="113" w:lineRule="auto"/>
        <w:jc w:val="center"/>
      </w:pPr>
    </w:p>
    <w:p>
      <w:pPr>
        <w:spacing w:beforeLines="113" w:afterLines="113" w:line="113" w:lineRule="auto"/>
        <w:jc w:val="center"/>
      </w:pPr>
      <w:r>
        <w:rPr>
          <w:rFonts w:hint="eastAsia" w:ascii="黑体" w:eastAsia="黑体"/>
          <w:b/>
          <w:color w:val="000000"/>
          <w:sz w:val="26"/>
          <w:szCs w:val="26"/>
          <w:shd w:val="clear" w:color="auto" w:fill="FFFFFF"/>
        </w:rPr>
        <w:t>表10-2 结构周期比</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1814"/>
        <w:gridCol w:w="1815"/>
        <w:gridCol w:w="181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第一扭转周期(s)</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第一平动周期(s)</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81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周期比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0.9643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1.1935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 xml:space="preserve">  0.81</w:t>
            </w:r>
          </w:p>
        </w:tc>
      </w:tr>
    </w:tbl>
    <w:p>
      <w:pPr>
        <w:spacing w:beforeLines="113" w:afterLines="113" w:line="113" w:lineRule="auto"/>
        <w:jc w:val="center"/>
      </w:pPr>
    </w:p>
    <w:p>
      <w:pPr>
        <w:spacing w:beforeLines="113" w:afterLines="113" w:line="113" w:lineRule="auto"/>
        <w:jc w:val="left"/>
      </w:pPr>
      <w:r>
        <w:rPr>
          <w:rFonts w:hint="eastAsia" w:ascii="宋体" w:eastAsia="宋体"/>
          <w:b/>
          <w:color w:val="000000"/>
          <w:sz w:val="24"/>
          <w:szCs w:val="24"/>
          <w:shd w:val="clear" w:color="auto" w:fill="FFFFFF"/>
        </w:rPr>
        <w:t>说明:此处计算周期比采用的扭转和平动振型通过平动和扭转因子进行判断，程序无法确定其是否为整体振型,</w:t>
      </w:r>
    </w:p>
    <w:p>
      <w:pPr>
        <w:spacing w:beforeLines="113" w:afterLines="113" w:line="113" w:lineRule="auto"/>
        <w:jc w:val="left"/>
      </w:pPr>
      <w:r>
        <w:rPr>
          <w:rFonts w:hint="eastAsia" w:ascii="宋体" w:eastAsia="宋体"/>
          <w:b/>
          <w:color w:val="000000"/>
          <w:sz w:val="24"/>
          <w:szCs w:val="24"/>
          <w:shd w:val="clear" w:color="auto" w:fill="FFFFFF"/>
        </w:rPr>
        <w:t>因此结果仅供参考.设计人员应通过振型图确定计算周期比所需的第一阶平动振型和扭转振型。</w:t>
      </w:r>
    </w:p>
    <w:p>
      <w:pPr>
        <w:spacing w:beforeLines="1701" w:afterLines="567" w:line="170" w:lineRule="auto"/>
        <w:ind w:leftChars="200" w:rightChars="400" w:firstLineChars="200"/>
        <w:jc w:val="center"/>
      </w:pPr>
      <w:r>
        <w:drawing>
          <wp:inline distT="0" distB="0" distL="0" distR="0">
            <wp:extent cx="6479540" cy="5399405"/>
            <wp:effectExtent l="4445" t="4445" r="12065" b="635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rFonts w:hint="eastAsia" w:ascii="宋体" w:eastAsia="宋体"/>
          <w:b w:val="0"/>
          <w:color w:val="000000"/>
          <w:sz w:val="24"/>
          <w:szCs w:val="24"/>
          <w:shd w:val="clear" w:color="auto" w:fill="FFFFFF"/>
        </w:rPr>
        <w:t>图10-1 1-8振型周期简图</w:t>
      </w:r>
    </w:p>
    <w:p>
      <w:pPr>
        <w:spacing w:beforeLines="113" w:afterLines="113" w:line="113" w:lineRule="auto"/>
        <w:jc w:val="center"/>
      </w:pPr>
    </w:p>
    <w:p>
      <w:pPr>
        <w:spacing w:beforeLines="113" w:afterLines="113" w:line="113" w:lineRule="auto"/>
        <w:jc w:val="left"/>
      </w:pPr>
      <w:r>
        <w:rPr>
          <w:rFonts w:hint="eastAsia" w:ascii="宋体" w:eastAsia="宋体"/>
          <w:b w:val="0"/>
          <w:color w:val="000000"/>
          <w:sz w:val="24"/>
          <w:szCs w:val="24"/>
          <w:shd w:val="clear" w:color="auto" w:fill="FFFFFF"/>
        </w:rPr>
        <w:t xml:space="preserve">        注: 图中蓝色表示侧振成份,红色表示扭振成份.</w:t>
      </w:r>
    </w:p>
    <w:p>
      <w:pPr>
        <w:pStyle w:val="3"/>
        <w:jc w:val="left"/>
      </w:pPr>
      <w:bookmarkStart w:id="42" w:name="_Toc24"/>
      <w:r>
        <w:rPr>
          <w:rFonts w:hint="eastAsia" w:ascii="宋体" w:eastAsia="宋体"/>
          <w:b/>
          <w:color w:val="000000"/>
          <w:sz w:val="28"/>
          <w:szCs w:val="28"/>
          <w:shd w:val="clear" w:color="auto" w:fill="FFFFFF"/>
        </w:rPr>
        <w:t>2. 各地震方向参与振型的有效质量系数</w:t>
      </w:r>
      <w:bookmarkEnd w:id="42"/>
    </w:p>
    <w:p>
      <w:pPr>
        <w:spacing w:beforeLines="113" w:afterLines="113" w:line="113" w:lineRule="auto"/>
        <w:jc w:val="center"/>
      </w:pPr>
      <w:r>
        <w:rPr>
          <w:rFonts w:hint="eastAsia" w:ascii="黑体" w:eastAsia="黑体"/>
          <w:b/>
          <w:color w:val="000000"/>
          <w:sz w:val="26"/>
          <w:szCs w:val="26"/>
          <w:shd w:val="clear" w:color="auto" w:fill="FFFFFF"/>
        </w:rPr>
        <w:t>表10-3 各地震方向参与振型的有效质量系数</w:t>
      </w:r>
    </w:p>
    <w:tbl>
      <w:tblPr>
        <w:tblStyle w:val="30"/>
        <w:tblW w:w="725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09"/>
        <w:gridCol w:w="1209"/>
        <w:gridCol w:w="1210"/>
        <w:gridCol w:w="1210"/>
        <w:gridCol w:w="1210"/>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0"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X向地震</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Y向地震</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X向地震</w:t>
            </w:r>
          </w:p>
        </w:tc>
        <w:tc>
          <w:tcPr>
            <w:tcW w:w="1190"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 xml:space="preserve"> Y向地震</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38.56%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0.12%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0.12%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36.96%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27.27%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16.64%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18.84%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29.84%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2.40%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2.05%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3.49%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2.20%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3.61%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3.45%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190" w:type="dxa"/>
            <w:shd w:val="clear" w:color="auto" w:fill="FFFFFF"/>
          </w:tcPr>
          <w:p>
            <w:pPr>
              <w:jc w:val="left"/>
            </w:pPr>
          </w:p>
        </w:tc>
        <w:tc>
          <w:tcPr>
            <w:tcW w:w="1190" w:type="dxa"/>
            <w:shd w:val="clear" w:color="auto" w:fill="FFFFFF"/>
          </w:tcPr>
          <w:p>
            <w:pPr>
              <w:jc w:val="left"/>
            </w:pPr>
          </w:p>
        </w:tc>
        <w:tc>
          <w:tcPr>
            <w:tcW w:w="1190" w:type="dxa"/>
            <w:shd w:val="clear" w:color="auto" w:fill="FFFFFF"/>
          </w:tcPr>
          <w:p>
            <w:pPr>
              <w:jc w:val="left"/>
            </w:pPr>
          </w:p>
        </w:tc>
      </w:tr>
    </w:tbl>
    <w:p>
      <w:pPr>
        <w:spacing w:beforeLines="113" w:afterLines="113" w:line="113" w:lineRule="auto"/>
        <w:jc w:val="left"/>
      </w:pPr>
      <w:r>
        <w:rPr>
          <w:rFonts w:hint="eastAsia" w:ascii="楷体" w:eastAsia="楷体"/>
          <w:b/>
          <w:color w:val="0000FF"/>
          <w:sz w:val="24"/>
          <w:szCs w:val="24"/>
          <w:shd w:val="clear" w:color="auto" w:fill="FFFFFF"/>
        </w:rPr>
        <w:t>根据《抗规》5.2.2条说明,振型个数一般可以取振型参与质量达到总质量90%所需的振型数。</w:t>
      </w:r>
    </w:p>
    <w:p>
      <w:pPr>
        <w:spacing w:beforeLines="113" w:afterLines="113" w:line="113" w:lineRule="auto"/>
        <w:jc w:val="left"/>
      </w:pPr>
      <w:r>
        <w:rPr>
          <w:rFonts w:hint="eastAsia" w:ascii="宋体" w:eastAsia="宋体"/>
          <w:b w:val="0"/>
          <w:color w:val="000000"/>
          <w:sz w:val="24"/>
          <w:szCs w:val="24"/>
          <w:shd w:val="clear" w:color="auto" w:fill="FFFFFF"/>
        </w:rPr>
        <w:t>第 1 地震方向 X向地震 的有效质量系数为 93.12%,参与振型足够</w:t>
      </w:r>
    </w:p>
    <w:p>
      <w:pPr>
        <w:spacing w:beforeLines="113" w:afterLines="113" w:line="113" w:lineRule="auto"/>
        <w:jc w:val="left"/>
      </w:pPr>
      <w:r>
        <w:rPr>
          <w:rFonts w:hint="eastAsia" w:ascii="宋体" w:eastAsia="宋体"/>
          <w:b w:val="0"/>
          <w:color w:val="000000"/>
          <w:sz w:val="24"/>
          <w:szCs w:val="24"/>
          <w:shd w:val="clear" w:color="auto" w:fill="FFFFFF"/>
        </w:rPr>
        <w:t>第 2 地震方向 Y向地震 的有效质量系数为 94.22%,参与振型足够</w:t>
      </w:r>
    </w:p>
    <w:p>
      <w:pPr>
        <w:spacing w:beforeLines="113" w:afterLines="113" w:line="113" w:lineRule="auto"/>
        <w:jc w:val="left"/>
      </w:pPr>
    </w:p>
    <w:p>
      <w:pPr>
        <w:pStyle w:val="3"/>
        <w:jc w:val="left"/>
      </w:pPr>
      <w:bookmarkStart w:id="43" w:name="_Toc25"/>
      <w:r>
        <w:rPr>
          <w:rFonts w:hint="eastAsia" w:ascii="宋体" w:eastAsia="宋体"/>
          <w:b/>
          <w:color w:val="000000"/>
          <w:sz w:val="28"/>
          <w:szCs w:val="28"/>
          <w:shd w:val="clear" w:color="auto" w:fill="FFFFFF"/>
        </w:rPr>
        <w:t>3. 地震作用下结构剪重比及其调整</w:t>
      </w:r>
      <w:bookmarkEnd w:id="43"/>
    </w:p>
    <w:p>
      <w:pPr>
        <w:spacing w:beforeLines="113" w:afterLines="113" w:line="113" w:lineRule="auto"/>
        <w:jc w:val="left"/>
      </w:pPr>
      <w:bookmarkStart w:id="44" w:name="X向地震"/>
      <w:bookmarkEnd w:id="44"/>
      <w:r>
        <w:rPr>
          <w:rFonts w:hint="eastAsia" w:ascii="宋体" w:eastAsia="宋体"/>
          <w:b/>
          <w:color w:val="8A2BE2"/>
          <w:sz w:val="24"/>
          <w:szCs w:val="24"/>
          <w:shd w:val="clear" w:color="auto" w:fill="FFFFFF"/>
        </w:rPr>
        <w:t xml:space="preserve">Vx,Vy(kN):        </w:t>
      </w:r>
      <w:r>
        <w:rPr>
          <w:rFonts w:hint="eastAsia" w:ascii="宋体" w:eastAsia="宋体"/>
          <w:b w:val="0"/>
          <w:color w:val="000000"/>
          <w:sz w:val="24"/>
          <w:szCs w:val="24"/>
          <w:shd w:val="clear" w:color="auto" w:fill="FFFFFF"/>
        </w:rPr>
        <w:t>地震作用下结构楼层的剪力</w:t>
      </w:r>
    </w:p>
    <w:p>
      <w:pPr>
        <w:spacing w:beforeLines="113" w:afterLines="113" w:line="113" w:lineRule="auto"/>
        <w:jc w:val="left"/>
      </w:pPr>
      <w:r>
        <w:rPr>
          <w:rFonts w:hint="eastAsia" w:ascii="宋体" w:eastAsia="宋体"/>
          <w:b/>
          <w:color w:val="8A2BE2"/>
          <w:sz w:val="24"/>
          <w:szCs w:val="24"/>
          <w:shd w:val="clear" w:color="auto" w:fill="FFFFFF"/>
        </w:rPr>
        <w:t xml:space="preserve">RSW:              </w:t>
      </w:r>
      <w:r>
        <w:rPr>
          <w:rFonts w:hint="eastAsia" w:ascii="宋体" w:eastAsia="宋体"/>
          <w:b w:val="0"/>
          <w:color w:val="000000"/>
          <w:sz w:val="24"/>
          <w:szCs w:val="24"/>
          <w:shd w:val="clear" w:color="auto" w:fill="FFFFFF"/>
        </w:rPr>
        <w:t>剪重比</w:t>
      </w:r>
    </w:p>
    <w:p>
      <w:pPr>
        <w:spacing w:beforeLines="113" w:afterLines="113" w:line="113" w:lineRule="auto"/>
        <w:jc w:val="left"/>
      </w:pPr>
      <w:r>
        <w:rPr>
          <w:rFonts w:hint="eastAsia" w:ascii="宋体" w:eastAsia="宋体"/>
          <w:b/>
          <w:color w:val="8A2BE2"/>
          <w:sz w:val="24"/>
          <w:szCs w:val="24"/>
          <w:shd w:val="clear" w:color="auto" w:fill="FFFFFF"/>
        </w:rPr>
        <w:t xml:space="preserve">Coef2:           </w:t>
      </w:r>
      <w:r>
        <w:rPr>
          <w:rFonts w:hint="eastAsia" w:ascii="宋体" w:eastAsia="宋体"/>
          <w:b w:val="0"/>
          <w:color w:val="000000"/>
          <w:sz w:val="24"/>
          <w:szCs w:val="24"/>
          <w:shd w:val="clear" w:color="auto" w:fill="FFFFFF"/>
        </w:rPr>
        <w:t>按抗规(5.2.5)条计算的剪重比调整系数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Coef_RSWx,Coef_RSWy:  </w:t>
      </w:r>
      <w:r>
        <w:rPr>
          <w:rFonts w:hint="eastAsia" w:ascii="宋体" w:eastAsia="宋体"/>
          <w:b w:val="0"/>
          <w:color w:val="000000"/>
          <w:sz w:val="24"/>
          <w:szCs w:val="24"/>
          <w:shd w:val="clear" w:color="auto" w:fill="FFFFFF"/>
        </w:rPr>
        <w:t>程序综合考虑最终采用的剪重比调整系数(如果用户定义了则采用用户定义值)</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根据《建筑与市政工程抗震通用规范》4.2.3-3规定，7度(0.15g)设防地区，水平地震影响系数最大值为0.16，X向楼层剪重比不应小于3.25%。</w:t>
      </w:r>
    </w:p>
    <w:p>
      <w:pPr>
        <w:spacing w:beforeLines="113" w:afterLines="113" w:line="113" w:lineRule="auto"/>
        <w:jc w:val="left"/>
      </w:pPr>
      <w:r>
        <w:rPr>
          <w:rFonts w:hint="eastAsia" w:ascii="楷体" w:eastAsia="楷体"/>
          <w:b/>
          <w:color w:val="0000FF"/>
          <w:sz w:val="24"/>
          <w:szCs w:val="24"/>
          <w:shd w:val="clear" w:color="auto" w:fill="FFFFFF"/>
        </w:rPr>
        <w:t>由下表可见， X向地震剪重比符合要求。</w:t>
      </w:r>
    </w:p>
    <w:p>
      <w:pPr>
        <w:spacing w:beforeLines="113" w:afterLines="113" w:line="113" w:lineRule="auto"/>
        <w:jc w:val="center"/>
      </w:pPr>
      <w:r>
        <w:rPr>
          <w:rFonts w:hint="eastAsia" w:ascii="黑体" w:eastAsia="黑体"/>
          <w:b/>
          <w:color w:val="000000"/>
          <w:sz w:val="26"/>
          <w:szCs w:val="26"/>
          <w:shd w:val="clear" w:color="auto" w:fill="FFFFFF"/>
        </w:rPr>
        <w:t>表10-4 X向地震工况下指标</w:t>
      </w:r>
    </w:p>
    <w:tbl>
      <w:tblPr>
        <w:tblStyle w:val="30"/>
        <w:tblW w:w="725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92"/>
        <w:gridCol w:w="1192"/>
        <w:gridCol w:w="1192"/>
        <w:gridCol w:w="1192"/>
        <w:gridCol w:w="1298"/>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0"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RSW</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Coef2</w:t>
            </w:r>
          </w:p>
        </w:tc>
        <w:tc>
          <w:tcPr>
            <w:tcW w:w="1190"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Coef_RSWx</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609.7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12.71%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1435.0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12.88%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1564.7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15.63%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1511.3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11.43%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2620.8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9.63%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2701.7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11.70%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2163.0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10.48%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3489.4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8.55%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3553.7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10.30%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2630.7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9.37%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4237.0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7.79%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4225.6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9.20%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2874.1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8.14%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4856.2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7.05%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4638.8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7.95%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2900.3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6.85%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5016.0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6.49%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4669.3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6.54%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bookmarkStart w:id="45" w:name="Y向地震"/>
      <w:bookmarkEnd w:id="45"/>
    </w:p>
    <w:p>
      <w:pPr>
        <w:spacing w:beforeLines="113" w:afterLines="113" w:line="113" w:lineRule="auto"/>
        <w:jc w:val="left"/>
      </w:pPr>
      <w:r>
        <w:rPr>
          <w:rFonts w:hint="eastAsia" w:ascii="楷体" w:eastAsia="楷体"/>
          <w:b/>
          <w:color w:val="0000FF"/>
          <w:sz w:val="24"/>
          <w:szCs w:val="24"/>
          <w:shd w:val="clear" w:color="auto" w:fill="FFFFFF"/>
        </w:rPr>
        <w:t>根据《建筑与市政工程抗震通用规范》4.2.3-3规定，7度(0.15g)设防地区，水平地震影响系数最大值为0.16，Y向楼层剪重比不应小于3.25%。</w:t>
      </w:r>
    </w:p>
    <w:p>
      <w:pPr>
        <w:spacing w:beforeLines="113" w:afterLines="113" w:line="113" w:lineRule="auto"/>
        <w:jc w:val="left"/>
      </w:pPr>
      <w:r>
        <w:rPr>
          <w:rFonts w:hint="eastAsia" w:ascii="楷体" w:eastAsia="楷体"/>
          <w:b/>
          <w:color w:val="0000FF"/>
          <w:sz w:val="24"/>
          <w:szCs w:val="24"/>
          <w:shd w:val="clear" w:color="auto" w:fill="FFFFFF"/>
        </w:rPr>
        <w:t>由下表可见， Y向地震剪重比符合要求。</w:t>
      </w:r>
    </w:p>
    <w:p>
      <w:pPr>
        <w:spacing w:beforeLines="113" w:afterLines="113" w:line="113" w:lineRule="auto"/>
        <w:jc w:val="center"/>
      </w:pPr>
      <w:r>
        <w:rPr>
          <w:rFonts w:hint="eastAsia" w:ascii="黑体" w:eastAsia="黑体"/>
          <w:b/>
          <w:color w:val="000000"/>
          <w:sz w:val="26"/>
          <w:szCs w:val="26"/>
          <w:shd w:val="clear" w:color="auto" w:fill="FFFFFF"/>
        </w:rPr>
        <w:t>表10-5 Y向地震工况下指标</w:t>
      </w:r>
    </w:p>
    <w:tbl>
      <w:tblPr>
        <w:tblStyle w:val="30"/>
        <w:tblW w:w="7257"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92"/>
        <w:gridCol w:w="1192"/>
        <w:gridCol w:w="1192"/>
        <w:gridCol w:w="1192"/>
        <w:gridCol w:w="1298"/>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0"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RSW</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Coef2</w:t>
            </w:r>
          </w:p>
        </w:tc>
        <w:tc>
          <w:tcPr>
            <w:tcW w:w="1190"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Coef_RSWy</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659.6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13.75%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1535.5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13.78%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1418.8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14.17%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1372.1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10.38%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2673.8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9.83%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2380.4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10.31%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1873.3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9.08%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3477.5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8.52%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3078.4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8.92%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2272.9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8.10%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4170.2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7.67%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3659.2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7.96%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2524.4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7.15%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4720.1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6.85%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4071.7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6.98%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2558.2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6.04%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4820.6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6.24%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4123.4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5.77%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rFonts w:hint="eastAsia" w:ascii="宋体" w:eastAsia="宋体"/>
          <w:b w:val="0"/>
          <w:color w:val="000000"/>
          <w:sz w:val="24"/>
          <w:szCs w:val="24"/>
          <w:shd w:val="clear" w:color="auto" w:fill="FFFFFF"/>
        </w:rPr>
        <w:t>图10-2 地震各工况楼层剪力简图(塔1)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rFonts w:hint="eastAsia" w:ascii="宋体" w:eastAsia="宋体"/>
          <w:b w:val="0"/>
          <w:color w:val="000000"/>
          <w:sz w:val="24"/>
          <w:szCs w:val="24"/>
          <w:shd w:val="clear" w:color="auto" w:fill="FFFFFF"/>
        </w:rPr>
        <w:t>图10-3 地震各工况楼层剪力简图(塔2)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hint="eastAsia" w:ascii="宋体" w:eastAsia="宋体"/>
          <w:b w:val="0"/>
          <w:color w:val="000000"/>
          <w:sz w:val="24"/>
          <w:szCs w:val="24"/>
          <w:shd w:val="clear" w:color="auto" w:fill="FFFFFF"/>
        </w:rPr>
        <w:t>图10-4 地震各工况楼层剪力简图(塔3)</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hint="eastAsia" w:ascii="宋体" w:eastAsia="宋体"/>
          <w:b w:val="0"/>
          <w:color w:val="000000"/>
          <w:sz w:val="24"/>
          <w:szCs w:val="24"/>
          <w:shd w:val="clear" w:color="auto" w:fill="FFFFFF"/>
        </w:rPr>
        <w:t>图10-5 地震各工况剪重比简图(塔1)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rFonts w:hint="eastAsia" w:ascii="宋体" w:eastAsia="宋体"/>
          <w:b w:val="0"/>
          <w:color w:val="000000"/>
          <w:sz w:val="24"/>
          <w:szCs w:val="24"/>
          <w:shd w:val="clear" w:color="auto" w:fill="FFFFFF"/>
        </w:rPr>
        <w:t>图10-6 地震各工况剪重比简图(塔2)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hint="eastAsia" w:ascii="宋体" w:eastAsia="宋体"/>
          <w:b w:val="0"/>
          <w:color w:val="000000"/>
          <w:sz w:val="24"/>
          <w:szCs w:val="24"/>
          <w:shd w:val="clear" w:color="auto" w:fill="FFFFFF"/>
        </w:rPr>
        <w:t>图10-7 地震各工况剪重比简图(塔3)</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Pr>
          <w:rFonts w:hint="eastAsia" w:ascii="宋体" w:eastAsia="宋体"/>
          <w:b w:val="0"/>
          <w:color w:val="000000"/>
          <w:sz w:val="24"/>
          <w:szCs w:val="24"/>
          <w:shd w:val="clear" w:color="auto" w:fill="FFFFFF"/>
        </w:rPr>
        <w:t>图10-8 地震各工况最终采用的剪重比调整系数简图(塔1)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rFonts w:hint="eastAsia" w:ascii="宋体" w:eastAsia="宋体"/>
          <w:b w:val="0"/>
          <w:color w:val="000000"/>
          <w:sz w:val="24"/>
          <w:szCs w:val="24"/>
          <w:shd w:val="clear" w:color="auto" w:fill="FFFFFF"/>
        </w:rPr>
        <w:t>图10-9 地震各工况最终采用的剪重比调整系数简图(塔2)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rFonts w:hint="eastAsia" w:ascii="宋体" w:eastAsia="宋体"/>
          <w:b w:val="0"/>
          <w:color w:val="000000"/>
          <w:sz w:val="24"/>
          <w:szCs w:val="24"/>
          <w:shd w:val="clear" w:color="auto" w:fill="FFFFFF"/>
        </w:rPr>
        <w:t>图10-10 地震各工况最终采用的剪重比调整系数简图(塔3)</w:t>
      </w:r>
    </w:p>
    <w:p>
      <w:pPr>
        <w:spacing w:beforeLines="113" w:afterLines="113" w:line="113" w:lineRule="auto"/>
        <w:jc w:val="center"/>
      </w:pPr>
    </w:p>
    <w:p>
      <w:pPr>
        <w:pStyle w:val="3"/>
        <w:jc w:val="left"/>
      </w:pPr>
      <w:bookmarkStart w:id="46" w:name="_Toc26"/>
      <w:r>
        <w:rPr>
          <w:rFonts w:hint="eastAsia" w:ascii="宋体" w:eastAsia="宋体"/>
          <w:b/>
          <w:color w:val="000000"/>
          <w:sz w:val="28"/>
          <w:szCs w:val="28"/>
          <w:shd w:val="clear" w:color="auto" w:fill="FFFFFF"/>
        </w:rPr>
        <w:t>4. 偶然偏心信息</w:t>
      </w:r>
      <w:bookmarkEnd w:id="46"/>
    </w:p>
    <w:p>
      <w:pPr>
        <w:spacing w:beforeLines="113" w:afterLines="113" w:line="113" w:lineRule="auto"/>
        <w:jc w:val="left"/>
      </w:pPr>
      <w:r>
        <w:rPr>
          <w:rFonts w:hint="eastAsia" w:ascii="宋体" w:eastAsia="宋体"/>
          <w:b/>
          <w:color w:val="8A2BE2"/>
          <w:sz w:val="24"/>
          <w:szCs w:val="24"/>
          <w:shd w:val="clear" w:color="auto" w:fill="FFFFFF"/>
        </w:rPr>
        <w:t xml:space="preserve">Ecx，Ecy:        </w:t>
      </w:r>
      <w:r>
        <w:rPr>
          <w:rFonts w:hint="eastAsia" w:ascii="宋体" w:eastAsia="宋体"/>
          <w:b w:val="0"/>
          <w:color w:val="000000"/>
          <w:sz w:val="24"/>
          <w:szCs w:val="24"/>
          <w:shd w:val="clear" w:color="auto" w:fill="FFFFFF"/>
        </w:rPr>
        <w:t>X、Y向偶然偏心</w:t>
      </w:r>
    </w:p>
    <w:p>
      <w:pPr>
        <w:spacing w:beforeLines="113" w:afterLines="113" w:line="113" w:lineRule="auto"/>
        <w:jc w:val="center"/>
      </w:pPr>
      <w:r>
        <w:rPr>
          <w:rFonts w:hint="eastAsia" w:ascii="黑体" w:eastAsia="黑体"/>
          <w:b/>
          <w:color w:val="000000"/>
          <w:sz w:val="26"/>
          <w:szCs w:val="26"/>
          <w:shd w:val="clear" w:color="auto" w:fill="FFFFFF"/>
        </w:rPr>
        <w:t>表10-6 偶然偏心</w:t>
      </w:r>
    </w:p>
    <w:tbl>
      <w:tblPr>
        <w:tblStyle w:val="30"/>
        <w:tblW w:w="5443"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361"/>
        <w:gridCol w:w="1361"/>
        <w:gridCol w:w="1361"/>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60"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Ecx</w:t>
            </w:r>
          </w:p>
        </w:tc>
        <w:tc>
          <w:tcPr>
            <w:tcW w:w="1360"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Ecy</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1-6</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0.05</w:t>
            </w:r>
          </w:p>
        </w:tc>
      </w:tr>
    </w:tbl>
    <w:p>
      <w:pPr>
        <w:spacing w:beforeLines="113" w:afterLines="113" w:line="113" w:lineRule="auto"/>
        <w:jc w:val="left"/>
      </w:pPr>
    </w:p>
    <w:p>
      <w:pPr>
        <w:pStyle w:val="16"/>
        <w:jc w:val="center"/>
      </w:pPr>
      <w:bookmarkStart w:id="47" w:name="_Toc27"/>
      <w:r>
        <w:rPr>
          <w:rFonts w:hint="eastAsia" w:ascii="宋体" w:eastAsia="宋体"/>
          <w:b/>
          <w:color w:val="000000"/>
          <w:sz w:val="32"/>
          <w:szCs w:val="32"/>
          <w:shd w:val="clear" w:color="auto" w:fill="FFFFFF"/>
        </w:rPr>
        <w:t>十一. 变形验算</w:t>
      </w:r>
      <w:bookmarkEnd w:id="47"/>
    </w:p>
    <w:p>
      <w:pPr>
        <w:pStyle w:val="3"/>
        <w:jc w:val="left"/>
      </w:pPr>
      <w:bookmarkStart w:id="48" w:name="_Toc28"/>
      <w:r>
        <w:rPr>
          <w:rFonts w:hint="eastAsia" w:ascii="宋体" w:eastAsia="宋体"/>
          <w:b/>
          <w:color w:val="000000"/>
          <w:sz w:val="28"/>
          <w:szCs w:val="28"/>
          <w:shd w:val="clear" w:color="auto" w:fill="FFFFFF"/>
        </w:rPr>
        <w:t>1. 普通结构楼层位移指标统计(强刚)</w:t>
      </w:r>
      <w:bookmarkEnd w:id="48"/>
    </w:p>
    <w:p>
      <w:pPr>
        <w:spacing w:beforeLines="113" w:afterLines="113" w:line="113" w:lineRule="auto"/>
        <w:jc w:val="left"/>
      </w:pPr>
      <w:r>
        <w:rPr>
          <w:rFonts w:hint="eastAsia" w:ascii="楷体" w:eastAsia="楷体"/>
          <w:b/>
          <w:color w:val="0000FF"/>
          <w:sz w:val="24"/>
          <w:szCs w:val="24"/>
          <w:shd w:val="clear" w:color="auto" w:fill="FFFFFF"/>
        </w:rPr>
        <w:t>根据《抗规》5.5.1条规定：对钢筋混凝土框架应进行多遇地震作用下的抗震变形验算，其楼层内最大的弹性层间位移△u／h不应大于1/550。结构所有工况下最大层间位移角均满足规范要求。</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抗规》3.4.3-1条对于扭转不规则的定义为：在规定的水平力作用下，楼层的最大弹性水平位移(或层间位移)，大于该楼层两端弹性水平位移(或层间位移)平均值的1.2倍。结构设定的判断扭转不规则的位移比为1.20，位移比的限值为1.50，结构不属于扭转不规则。</w:t>
      </w:r>
    </w:p>
    <w:p>
      <w:pPr>
        <w:spacing w:beforeLines="113" w:afterLines="113" w:line="113" w:lineRule="auto"/>
        <w:jc w:val="left"/>
      </w:pPr>
      <w:r>
        <w:rPr>
          <w:rFonts w:hint="eastAsia" w:ascii="楷体" w:eastAsia="楷体"/>
          <w:b/>
          <w:color w:val="0000FF"/>
          <w:sz w:val="24"/>
          <w:szCs w:val="24"/>
          <w:shd w:val="clear" w:color="auto" w:fill="FFFFFF"/>
        </w:rPr>
        <w:t>所有工况下位移比、层间位移比均满足规范要求。</w:t>
      </w:r>
    </w:p>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表中位移的单位为(mm)</w:t>
      </w:r>
    </w:p>
    <w:p>
      <w:pPr>
        <w:spacing w:beforeLines="113" w:afterLines="113" w:line="113" w:lineRule="auto"/>
        <w:jc w:val="left"/>
      </w:pPr>
    </w:p>
    <w:p>
      <w:pPr>
        <w:spacing w:beforeLines="113" w:afterLines="113" w:line="113" w:lineRule="auto"/>
        <w:jc w:val="center"/>
      </w:pPr>
      <w:bookmarkStart w:id="49" w:name="X正偏心静震"/>
      <w:bookmarkEnd w:id="49"/>
      <w:r>
        <w:rPr>
          <w:rFonts w:hint="eastAsia" w:ascii="黑体" w:eastAsia="黑体"/>
          <w:b/>
          <w:color w:val="000000"/>
          <w:sz w:val="26"/>
          <w:szCs w:val="26"/>
          <w:shd w:val="clear" w:color="auto" w:fill="FFFFFF"/>
        </w:rPr>
        <w:t>表11-1 X正偏心静震工况的楼层位移</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254"/>
        <w:gridCol w:w="1545"/>
        <w:gridCol w:w="1254"/>
        <w:gridCol w:w="1255"/>
        <w:gridCol w:w="1255"/>
        <w:gridCol w:w="125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7"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最大位移(节点号)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平均位移</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平均层间位移</w:t>
            </w:r>
          </w:p>
        </w:tc>
        <w:tc>
          <w:tcPr>
            <w:tcW w:w="1247"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25.81(1169)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24.79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4.28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4.07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35.78(1190)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34.98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6.86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6.65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27.81(1329)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26.98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6.92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6.68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21.53(1001)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20.71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3.97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3.87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28.92(1032)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28.32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4.23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4.09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20.89(1124)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20.29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4.51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4.32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17.56(858)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16.85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5.26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5.03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24.69(889)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24.24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5.34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5.18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16.39(964)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15.97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5.35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5.17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12.30(715)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11.82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6.06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5.86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19.35(746)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19.06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6.26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6.13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11.04(819)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10.80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5.79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5.63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6.23(566)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5.96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5.93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5.67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13.18(609)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12.98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7.77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5.29(661)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5.19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5.15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5.03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0.30(326)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0.30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0.30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0.30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5.41(404)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5.38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5.41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5.38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0.17(476)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0.16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0.17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0.16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35.78（发生在6层2塔）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1.05（发生在2层1塔）</w:t>
      </w:r>
    </w:p>
    <w:p>
      <w:pPr>
        <w:spacing w:beforeLines="113" w:afterLines="113" w:line="113" w:lineRule="auto"/>
        <w:jc w:val="left"/>
      </w:pP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表11-2 X正偏心静震工况的楼层层间位移</w:t>
      </w:r>
    </w:p>
    <w:tbl>
      <w:tblPr>
        <w:tblStyle w:val="30"/>
        <w:tblW w:w="5443"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181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81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1.05（发生在6层1塔）</w:t>
      </w: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bookmarkStart w:id="50" w:name="X负偏心静震"/>
      <w:bookmarkEnd w:id="50"/>
      <w:r>
        <w:rPr>
          <w:rFonts w:hint="eastAsia" w:ascii="黑体" w:eastAsia="黑体"/>
          <w:b/>
          <w:color w:val="000000"/>
          <w:sz w:val="26"/>
          <w:szCs w:val="26"/>
          <w:shd w:val="clear" w:color="auto" w:fill="FFFFFF"/>
        </w:rPr>
        <w:t>表11-3 X负偏心静震工况的楼层位移</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254"/>
        <w:gridCol w:w="1545"/>
        <w:gridCol w:w="1254"/>
        <w:gridCol w:w="1255"/>
        <w:gridCol w:w="1255"/>
        <w:gridCol w:w="125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7"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最大位移(节点号)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平均位移</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平均层间位移</w:t>
            </w:r>
          </w:p>
        </w:tc>
        <w:tc>
          <w:tcPr>
            <w:tcW w:w="1247"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26.34(1168)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24.83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4.31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4.08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35.45(1193)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34.94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6.72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6.64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27.48(1309)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26.93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6.76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6.66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22.03(1008)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20.76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4.18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3.89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28.73(1038)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28.31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4.13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4.08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20.72(1116)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20.27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4.38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4.31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17.86(865)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16.87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5.31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5.03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24.60(895)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24.23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5.24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5.16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16.34(956)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15.96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5.24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5.16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12.55(722)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11.84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6.25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5.87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19.36(752)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19.06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6.26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6.13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11.10(813)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10.80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5.74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5.62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6.30(573)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5.97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5.99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5.67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13.11(603)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12.89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7.71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7.53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5.36(668)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5.13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5.17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4.97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0.31(343)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0.30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0.31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0.30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5.40(398)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5.36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5.40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5.36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0.19(476)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0.16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0.19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0.16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35.45（发生在6层2塔）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1.06（发生在5层1塔）</w:t>
      </w:r>
    </w:p>
    <w:p>
      <w:pPr>
        <w:spacing w:beforeLines="113" w:afterLines="113" w:line="113" w:lineRule="auto"/>
        <w:jc w:val="left"/>
      </w:pP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表11-4 X负偏心静震工况的楼层层间位移</w:t>
      </w:r>
    </w:p>
    <w:tbl>
      <w:tblPr>
        <w:tblStyle w:val="30"/>
        <w:tblW w:w="5443"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181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81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1.08（发生在5层1塔）</w:t>
      </w: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bookmarkStart w:id="51" w:name="Y正偏心静震"/>
      <w:bookmarkEnd w:id="51"/>
      <w:r>
        <w:rPr>
          <w:rFonts w:hint="eastAsia" w:ascii="黑体" w:eastAsia="黑体"/>
          <w:b/>
          <w:color w:val="000000"/>
          <w:sz w:val="26"/>
          <w:szCs w:val="26"/>
          <w:shd w:val="clear" w:color="auto" w:fill="FFFFFF"/>
        </w:rPr>
        <w:t>表11-5 Y正偏心静震工况的楼层位移</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254"/>
        <w:gridCol w:w="1545"/>
        <w:gridCol w:w="1254"/>
        <w:gridCol w:w="1255"/>
        <w:gridCol w:w="1255"/>
        <w:gridCol w:w="125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7"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最大位移(节点号)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平均位移</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平均层间位移</w:t>
            </w:r>
          </w:p>
        </w:tc>
        <w:tc>
          <w:tcPr>
            <w:tcW w:w="1247"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30.27(1186)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25.18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5.69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4.51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42.04(1303)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36.25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9.60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8.34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28.52(1441)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27.70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7.20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7.17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24.59(1027)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20.65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5.13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4.24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32.44(1105)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27.90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6.34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5.36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21.32(1154)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20.52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5.20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4.99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19.46(884)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16.40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6.38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5.39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26.10(945)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22.54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7.31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6.14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16.13(996)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15.53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5.39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5.33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13.08(741)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11.00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6.53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5.65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18.79(802)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16.39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7.50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6.40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10.74(853)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10.19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5.72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5.40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6.54(592)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5.37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6.16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5.15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11.29(656)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9.99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7.92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6.84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5.02(710)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4.79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4.89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0.38(387)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0.24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0.38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0.24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3.36(438)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3.13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3.36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3.13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0.25(443)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0.19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0.25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0.19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42.04（发生在6层2塔）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1.22（发生在2层1塔）</w:t>
      </w:r>
    </w:p>
    <w:p>
      <w:pPr>
        <w:spacing w:beforeLines="113" w:afterLines="113" w:line="113" w:lineRule="auto"/>
        <w:jc w:val="left"/>
      </w:pP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表11-6 Y正偏心静震工况的楼层层间位移</w:t>
      </w:r>
    </w:p>
    <w:tbl>
      <w:tblPr>
        <w:tblStyle w:val="30"/>
        <w:tblW w:w="5443"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181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81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1.26（发生在6层1塔）</w:t>
      </w: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bookmarkStart w:id="52" w:name="Y负偏心静震"/>
      <w:bookmarkEnd w:id="52"/>
      <w:r>
        <w:rPr>
          <w:rFonts w:hint="eastAsia" w:ascii="黑体" w:eastAsia="黑体"/>
          <w:b/>
          <w:color w:val="000000"/>
          <w:sz w:val="26"/>
          <w:szCs w:val="26"/>
          <w:shd w:val="clear" w:color="auto" w:fill="FFFFFF"/>
        </w:rPr>
        <w:t>表11-7 Y负偏心静震工况的楼层位移</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254"/>
        <w:gridCol w:w="1545"/>
        <w:gridCol w:w="1254"/>
        <w:gridCol w:w="1255"/>
        <w:gridCol w:w="1255"/>
        <w:gridCol w:w="125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7"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最大位移(节点号)</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平均位移</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平均层间位移</w:t>
            </w:r>
          </w:p>
        </w:tc>
        <w:tc>
          <w:tcPr>
            <w:tcW w:w="1247"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24.97(1161)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24.57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4.56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4.34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42.62(1190)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36.15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9.93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8.27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35.82(1308)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28.43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9.42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7.39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20.80(1001)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20.20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4.15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4.12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32.69(1032)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27.87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6.26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5.33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26.40(1110)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21.03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6.41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5.11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16.67(858)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16.06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5.40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5.27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26.43(889)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22.54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7.15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6.12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20.00(950)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15.92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7.02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5.50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11.26(715)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10.79</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5.90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5.56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19.28(746)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16.42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7.68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6.42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12.97(807)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10.42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6.83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5.52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5.36(566)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5.24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5.26</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5.05</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11.60(597)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8.18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6.88</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1.16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6.15(661)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4.91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5.81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4.70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1.25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0.32(387)</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0.21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0.32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0.21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3.42(392)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3.14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3.42</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3.14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0.34(443)</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 xml:space="preserve"> 0.21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0.34</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0.21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42.62（发生在6层2塔）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1.26（发生在6层3塔）</w:t>
      </w:r>
    </w:p>
    <w:p>
      <w:pPr>
        <w:spacing w:beforeLines="113" w:afterLines="113" w:line="113" w:lineRule="auto"/>
        <w:jc w:val="left"/>
      </w:pP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表11-8 Y负偏心静震工况的楼层层间位移</w:t>
      </w:r>
    </w:p>
    <w:tbl>
      <w:tblPr>
        <w:tblStyle w:val="30"/>
        <w:tblW w:w="5443"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1815"/>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81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1.24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1.28（发生在4层3塔）</w:t>
      </w: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表11-9 X向地震工况的位移</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469"/>
        <w:gridCol w:w="1536"/>
        <w:gridCol w:w="1471"/>
        <w:gridCol w:w="1471"/>
        <w:gridCol w:w="1656"/>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最大位移(节点号)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平均层间位移</w:t>
            </w:r>
          </w:p>
        </w:tc>
        <w:tc>
          <w:tcPr>
            <w:tcW w:w="147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最大层间位移角(节点号)</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25.40(1168)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4.15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4.08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1/1301(1188)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33.32(1190)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6.67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6.55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1/809(1190)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25.81(1329)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6.66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6.56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1/810(1329)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21.25(1008)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4.02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3.88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1/969(1012)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27.84(1032)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4.09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4.02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1/954(1032)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20.00(1124)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4.31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4.23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1/903(1154)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17.23(865)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5.12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5.03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1/761(865)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24.07(889)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5.19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5.12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1/751(889)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15.88(964)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5.18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5.11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1/752(964)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12.11(722)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6.03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5.87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1/646(722)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19.02(746)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6.12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6.09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1/637(746)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10.76(819)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5.64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5.60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1/691(819)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6.08(573)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5.78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5.67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1/726(573)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12.96(609)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7.59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7.55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1/553(609)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5.20(668)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5.02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4.99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1/837(668)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0.30(343)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1/9999(343)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5.37(404)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5.37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5.37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1/838(404)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0.18(476)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0.18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0.16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1/9999(476)</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33.32（发生在6层2塔）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1/553（发生在2层2塔）</w:t>
      </w: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表11-10 Y向地震工况的位移</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91"/>
        <w:gridCol w:w="1554"/>
        <w:gridCol w:w="1491"/>
        <w:gridCol w:w="1491"/>
        <w:gridCol w:w="1554"/>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最大位移(节点号)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平均层间位移</w:t>
            </w:r>
          </w:p>
        </w:tc>
        <w:tc>
          <w:tcPr>
            <w:tcW w:w="147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最大层间位移角(节点号)</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31.30(1186)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5.89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4.62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1/916(1186)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34.08(1303)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8.19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8.12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1/659(1190)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34.14(1308)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9.32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7.36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1/579(1308)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25.41(1027)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5.29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4.34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1/737(1027)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27.41(1105)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5.38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5.21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1/724(1105)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26.02(1110)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6.34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5.12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1/614(1110)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20.12(884)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6.58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5.53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1/592(884)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22.43(945)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6.27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6.03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1/621(945)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20.06(950)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7.02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5.57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1/555(950)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13.54(741)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6.75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5.80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1/577(741)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16.35(802)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6.42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6.35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1/607(802)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13.15(807)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6.90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5.64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1/565(807)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6.79(592)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6.39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5.31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1/656(592)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9.96(656)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6.83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6.83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1/614(656)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6.27(661)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5.92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4.83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1/709(661)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0.39(387)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0.24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1/9999(387)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3.13(392)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3.13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3.13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1/1436(392)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0.35(443)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0.22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1/9999(443)</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34.14（发生在6层3塔）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1/555（发生在4层3塔）</w:t>
      </w: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表11-11 X向风工况的位移</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1481"/>
        <w:gridCol w:w="1482"/>
        <w:gridCol w:w="1482"/>
        <w:gridCol w:w="1482"/>
        <w:gridCol w:w="1664"/>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最大位移(节点号)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平均层间位移</w:t>
            </w:r>
          </w:p>
        </w:tc>
        <w:tc>
          <w:tcPr>
            <w:tcW w:w="147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最大层间位移角(节点号)</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2.86(1168)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0.62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0.61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1/8760(1188)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2.33(1190)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0.46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0.46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1/9999(1190)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1.76(1329)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0.43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0.43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1/9999(1329)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2.24(1008)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0.45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0.44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1/8736(1012)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1.87(1032)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0.26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0.26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1/9999(1032)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1.33(1124)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0.27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0.27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1/9999(1154)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1.80(865)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0.52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0.52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1/7450(865)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1.60(889)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1/9999(889)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1.06(964)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1/9999(964)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1.27(722)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0.62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0.61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1/6303(722)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1.27(746)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0.40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0.40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1/9785(746)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0.73(819)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1/9999(819)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0.65(573)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0.62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0.62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1/6759(573)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0.87(609)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0.51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0.51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1/8183(609)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0.36(661)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1/9999(661)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0.03(343)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0.03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0.03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1/9999(343)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0.36(404)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1/9999(404)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0.01(476)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1/9999(476)</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2.86（发生在6层1塔）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1/6303（发生在3层1塔）</w:t>
      </w:r>
    </w:p>
    <w:p>
      <w:pPr>
        <w:spacing w:beforeLines="113" w:afterLines="113" w:line="113" w:lineRule="auto"/>
        <w:jc w:val="left"/>
      </w:pPr>
    </w:p>
    <w:p>
      <w:pPr>
        <w:spacing w:beforeLines="113" w:afterLines="113" w:line="113" w:lineRule="auto"/>
        <w:jc w:val="left"/>
      </w:pPr>
    </w:p>
    <w:bookmarkEnd w:id="2"/>
    <w:p>
      <w:pPr>
        <w:spacing w:beforeLines="113" w:afterLines="113" w:line="113" w:lineRule="auto"/>
        <w:jc w:val="center"/>
      </w:pPr>
      <w:r>
        <w:rPr>
          <w:rFonts w:hint="eastAsia" w:ascii="黑体" w:eastAsia="黑体"/>
          <w:b/>
          <w:color w:val="000000"/>
          <w:sz w:val="26"/>
          <w:szCs w:val="26"/>
          <w:shd w:val="clear" w:color="auto" w:fill="FFFFFF"/>
        </w:rPr>
        <w:t>表11-12 Y向风工况的位移</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1481"/>
        <w:gridCol w:w="1482"/>
        <w:gridCol w:w="1482"/>
        <w:gridCol w:w="1482"/>
        <w:gridCol w:w="1664"/>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最大位移(节点号)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平均层间位移</w:t>
            </w:r>
          </w:p>
        </w:tc>
        <w:tc>
          <w:tcPr>
            <w:tcW w:w="147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最大层间位移角(节点号)</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5.18(1186)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1.24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1.04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1/4369(1186)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7.01(1303)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1/3302(1303)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5.37(1308)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1.19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1/3966(1308)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3.94(1027)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0.86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0.75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1/4536(1027)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5.37(1105)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1.02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0.99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1/3817(1105)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4.01(1110)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0.93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0.83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1/4194(1110)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3.08(884)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0.99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0.89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1/3934(884)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4.35(945)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1.18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1.15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1/3295(945)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3.08(950)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1.05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0.91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1/3716(950)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2.09(741)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1.02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0.94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1/3833(741)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3.20(746)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1.23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1.23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1/3168(746)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2.03(807)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1.05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0.95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1/3722(807)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1.07(592)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1.01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0.91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1/4165(592)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1.97(597)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1/3099(597)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0.98(661)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0.93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0.84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1/4520(661)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0.06(387)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0.06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0.04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1/9999(387)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0.61(392)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0.61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0.61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1/7361(392)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0.06(443)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0.06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0.04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1/9999(443)</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7.01（发生在6层2塔）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1/3099（发生在2层2塔）</w:t>
      </w: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bookmarkStart w:id="53" w:name="X+Y地震"/>
      <w:bookmarkEnd w:id="53"/>
      <w:r>
        <w:rPr>
          <w:rFonts w:hint="eastAsia" w:ascii="黑体" w:eastAsia="黑体"/>
          <w:b/>
          <w:color w:val="000000"/>
          <w:sz w:val="26"/>
          <w:szCs w:val="26"/>
          <w:shd w:val="clear" w:color="auto" w:fill="FFFFFF"/>
        </w:rPr>
        <w:t>表11-13 X+Y地震(双向效应)工况的位移</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469"/>
        <w:gridCol w:w="1536"/>
        <w:gridCol w:w="1471"/>
        <w:gridCol w:w="1471"/>
        <w:gridCol w:w="1656"/>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最大位移(节点号)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平均层间位移</w:t>
            </w:r>
          </w:p>
        </w:tc>
        <w:tc>
          <w:tcPr>
            <w:tcW w:w="147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最大层间位移角(节点号)</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25.80(1168)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4.25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4.15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1/1270(1188)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33.32(1190)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6.67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6.55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1/809(1190)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26.00(1329)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6.72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6.61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1/804(1329)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21.57(1008)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4.10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3.94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1/951(1012)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27.84(1032)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4.09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4.02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1/954(1032)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20.14(1124)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4.36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4.27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1/894(1154)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17.47(865)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5.20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5.10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1/750(865)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24.07(889)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5.19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5.12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1/751(889)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15.99(964)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5.22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5.14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1/746(964)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12.27(722)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6.11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5.94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1/638(722)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19.02(746)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6.12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6.09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1/637(746)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10.82(819)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5.67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5.61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1/687(819)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6.17(573)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5.86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5.75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1/717(573)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12.96(609)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7.59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7.55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1/553(609)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5.23(668)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5.05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5.03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1/832(668)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0.31(343)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1/9999(343)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5.37(404)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5.37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5.37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1/838(404)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0.19(476)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0.19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0.17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1/9999(476)</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33.32（发生在6层2塔）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1/553（发生在2层2塔）</w:t>
      </w:r>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bookmarkStart w:id="54" w:name="Y+X地震"/>
      <w:bookmarkEnd w:id="54"/>
      <w:r>
        <w:rPr>
          <w:rFonts w:hint="eastAsia" w:ascii="黑体" w:eastAsia="黑体"/>
          <w:b/>
          <w:color w:val="000000"/>
          <w:sz w:val="26"/>
          <w:szCs w:val="26"/>
          <w:shd w:val="clear" w:color="auto" w:fill="FFFFFF"/>
        </w:rPr>
        <w:t>表11-14 Y+X地震(双向效应)工况的位移</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91"/>
        <w:gridCol w:w="1554"/>
        <w:gridCol w:w="1491"/>
        <w:gridCol w:w="1491"/>
        <w:gridCol w:w="1554"/>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4"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最大位移(节点号)</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w:t>
            </w:r>
          </w:p>
        </w:tc>
        <w:tc>
          <w:tcPr>
            <w:tcW w:w="147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平均层间位移</w:t>
            </w:r>
          </w:p>
        </w:tc>
        <w:tc>
          <w:tcPr>
            <w:tcW w:w="1474"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最大层间位移角(节点号)</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31.34(1186)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5.90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4.63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1/915(1186)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34.09(1303)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8.20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8.12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1/658(1190)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34.15(1308)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9.32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7.36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1/579(1308)</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25.44(1027)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5.30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4.35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1/736(1027)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27.41(1105)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5.38</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5.21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1/724(1105)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26.03(1110)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6.35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5.12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1/614(1110)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20.15(884)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6.59</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5.54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1/592(884)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22.44(945)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6.27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6.03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1/621(945)</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20.06(950)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7.02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5.57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1/555(950)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13.56(741)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6.76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5.81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1/576(741)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16.35(802)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6.42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6.35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1/607(802)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13.15(807)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6.90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5.64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1/565(807)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6.80(592)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6.40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5.32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1/656(592)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9.96(656)</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6.83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6.83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1/614(656)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6.27(661)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5.92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4.83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1/709(661)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0.40(387)</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0.40</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0.24</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1/9999(387)</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3.13(392)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3.13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3.13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1/1436(392)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 xml:space="preserve"> 0.35(443)</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0.35</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0.22</w:t>
            </w:r>
          </w:p>
        </w:tc>
        <w:tc>
          <w:tcPr>
            <w:tcW w:w="1474" w:type="dxa"/>
            <w:shd w:val="clear" w:color="auto" w:fill="FFFFFF"/>
            <w:vAlign w:val="center"/>
          </w:tcPr>
          <w:p>
            <w:pPr>
              <w:jc w:val="center"/>
            </w:pPr>
            <w:r>
              <w:rPr>
                <w:rFonts w:hint="eastAsia" w:ascii="宋体" w:eastAsia="宋体"/>
                <w:b w:val="0"/>
                <w:color w:val="000000"/>
                <w:sz w:val="24"/>
                <w:szCs w:val="24"/>
                <w:shd w:val="clear" w:color="auto" w:fill="FFFFFF"/>
              </w:rPr>
              <w:t>1/9999(443)</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34.15（发生在6层3塔）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1/555（发生在4层3塔）</w:t>
      </w:r>
    </w:p>
    <w:p>
      <w:pPr>
        <w:spacing w:beforeLines="113" w:afterLines="113" w:line="113" w:lineRule="auto"/>
        <w:jc w:val="left"/>
      </w:pPr>
    </w:p>
    <w:p>
      <w:pPr>
        <w:spacing w:beforeLines="113" w:afterLines="113" w:line="113" w:lineRule="auto"/>
        <w:jc w:val="left"/>
      </w:pPr>
    </w:p>
    <w:p>
      <w:pPr>
        <w:pStyle w:val="16"/>
        <w:jc w:val="left"/>
      </w:pPr>
      <w:bookmarkStart w:id="55" w:name="_Toc29"/>
      <w:r>
        <w:rPr>
          <w:rFonts w:hint="eastAsia" w:ascii="宋体" w:eastAsia="宋体"/>
          <w:b/>
          <w:color w:val="000000"/>
          <w:sz w:val="32"/>
          <w:szCs w:val="32"/>
          <w:shd w:val="clear" w:color="auto" w:fill="FFFFFF"/>
        </w:rPr>
        <w:t>十二. 结构顶点风振加速度</w:t>
      </w:r>
      <w:bookmarkEnd w:id="55"/>
    </w:p>
    <w:p>
      <w:pPr>
        <w:spacing w:beforeLines="113" w:afterLines="113" w:line="113" w:lineRule="auto"/>
        <w:jc w:val="left"/>
      </w:pP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表12-1 风振加速度</w:t>
      </w:r>
    </w:p>
    <w:tbl>
      <w:tblPr>
        <w:tblStyle w:val="30"/>
        <w:tblW w:w="2721"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907"/>
        <w:gridCol w:w="907"/>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顺风向</w:t>
            </w:r>
          </w:p>
        </w:tc>
        <w:tc>
          <w:tcPr>
            <w:tcW w:w="907"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横风向</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WX</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0.011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WY</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0.024</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0.029</w:t>
            </w:r>
          </w:p>
        </w:tc>
      </w:tr>
    </w:tbl>
    <w:p>
      <w:pPr>
        <w:spacing w:beforeLines="113" w:afterLines="113" w:line="113" w:lineRule="auto"/>
        <w:jc w:val="left"/>
      </w:pPr>
    </w:p>
    <w:p>
      <w:pPr>
        <w:pStyle w:val="16"/>
        <w:jc w:val="center"/>
      </w:pPr>
      <w:bookmarkStart w:id="56" w:name="_Toc30"/>
      <w:r>
        <w:rPr>
          <w:rFonts w:hint="eastAsia" w:ascii="宋体" w:eastAsia="宋体"/>
          <w:b/>
          <w:color w:val="000000"/>
          <w:sz w:val="32"/>
          <w:szCs w:val="32"/>
          <w:shd w:val="clear" w:color="auto" w:fill="FFFFFF"/>
        </w:rPr>
        <w:t>十三. 抗倾覆和稳定验算</w:t>
      </w:r>
      <w:bookmarkEnd w:id="56"/>
    </w:p>
    <w:p>
      <w:pPr>
        <w:pStyle w:val="3"/>
        <w:jc w:val="left"/>
      </w:pPr>
      <w:bookmarkStart w:id="57" w:name="_Toc31"/>
      <w:r>
        <w:rPr>
          <w:rFonts w:hint="eastAsia" w:ascii="宋体" w:eastAsia="宋体"/>
          <w:b/>
          <w:color w:val="000000"/>
          <w:sz w:val="28"/>
          <w:szCs w:val="28"/>
          <w:shd w:val="clear" w:color="auto" w:fill="FFFFFF"/>
        </w:rPr>
        <w:t>1. 抗倾覆验算</w:t>
      </w:r>
      <w:bookmarkEnd w:id="57"/>
    </w:p>
    <w:p>
      <w:pPr>
        <w:spacing w:beforeLines="113" w:afterLines="113" w:line="113" w:lineRule="auto"/>
        <w:jc w:val="left"/>
      </w:pPr>
      <w:r>
        <w:rPr>
          <w:rFonts w:hint="eastAsia" w:ascii="楷体" w:eastAsia="楷体"/>
          <w:b/>
          <w:color w:val="0000FF"/>
          <w:sz w:val="24"/>
          <w:szCs w:val="24"/>
          <w:shd w:val="clear" w:color="auto" w:fill="FFFFFF"/>
        </w:rPr>
        <w:t>根据《抗规》4.2.4条规定：高度比大于4的高层建筑，在地震作用下基础底面不宜出现脱离区(零应力区)；其他建筑，基础底面与地基土之间脱离区(零应力区)面积不应超过基础底面面积的15%。</w:t>
      </w:r>
    </w:p>
    <w:p>
      <w:pPr>
        <w:spacing w:beforeLines="113" w:afterLines="113" w:line="113" w:lineRule="auto"/>
        <w:jc w:val="left"/>
      </w:pPr>
      <w:r>
        <w:rPr>
          <w:rFonts w:hint="eastAsia" w:ascii="楷体" w:eastAsia="楷体"/>
          <w:b/>
          <w:color w:val="0000FF"/>
          <w:sz w:val="24"/>
          <w:szCs w:val="24"/>
          <w:shd w:val="clear" w:color="auto" w:fill="FFFFFF"/>
        </w:rPr>
        <w:t>结构的抗倾覆验算结果如下：</w:t>
      </w:r>
    </w:p>
    <w:p>
      <w:pPr>
        <w:spacing w:beforeLines="113" w:afterLines="113" w:line="113" w:lineRule="auto"/>
        <w:jc w:val="center"/>
      </w:pPr>
      <w:r>
        <w:rPr>
          <w:rFonts w:hint="eastAsia" w:ascii="黑体" w:eastAsia="黑体"/>
          <w:b/>
          <w:color w:val="000000"/>
          <w:sz w:val="26"/>
          <w:szCs w:val="26"/>
          <w:shd w:val="clear" w:color="auto" w:fill="FFFFFF"/>
        </w:rPr>
        <w:t>表13-1 抗倾覆验算</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111"/>
        <w:gridCol w:w="2111"/>
        <w:gridCol w:w="1997"/>
        <w:gridCol w:w="1997"/>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0" w:type="dxa"/>
            <w:tcBorders>
              <w:top w:val="single" w:color="auto" w:sz="14" w:space="0"/>
              <w:left w:val="nil"/>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w:t>
            </w:r>
          </w:p>
        </w:tc>
        <w:tc>
          <w:tcPr>
            <w:tcW w:w="209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抗倾覆力矩Mr(kN.m)</w:t>
            </w:r>
          </w:p>
        </w:tc>
        <w:tc>
          <w:tcPr>
            <w:tcW w:w="209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倾覆力矩Mov(kN.m)</w:t>
            </w:r>
          </w:p>
        </w:tc>
        <w:tc>
          <w:tcPr>
            <w:tcW w:w="198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比值Mr/Mov</w:t>
            </w:r>
          </w:p>
        </w:tc>
        <w:tc>
          <w:tcPr>
            <w:tcW w:w="1984" w:type="dxa"/>
            <w:tcBorders>
              <w:top w:val="single" w:color="auto" w:sz="14" w:space="0"/>
              <w:left w:val="single" w:color="auto" w:sz="4" w:space="0"/>
              <w:bottom w:val="single" w:color="auto" w:sz="14" w:space="0"/>
              <w:right w:val="nil"/>
            </w:tcBorders>
            <w:shd w:val="clear" w:color="auto" w:fill="FFFFFF"/>
          </w:tcPr>
          <w:p>
            <w:pPr>
              <w:jc w:val="center"/>
            </w:pPr>
            <w:r>
              <w:rPr>
                <w:rFonts w:hint="eastAsia" w:ascii="宋体" w:eastAsia="宋体"/>
                <w:b w:val="0"/>
                <w:color w:val="000000"/>
                <w:sz w:val="24"/>
                <w:szCs w:val="24"/>
                <w:shd w:val="clear" w:color="auto" w:fill="FFFFFF"/>
              </w:rPr>
              <w:t>零应力区(%)</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EX</w:t>
            </w:r>
          </w:p>
        </w:tc>
        <w:tc>
          <w:tcPr>
            <w:tcW w:w="2097" w:type="dxa"/>
            <w:shd w:val="clear" w:color="auto" w:fill="FFFFFF"/>
          </w:tcPr>
          <w:p>
            <w:pPr>
              <w:jc w:val="center"/>
            </w:pPr>
            <w:r>
              <w:rPr>
                <w:rFonts w:hint="eastAsia" w:ascii="宋体" w:eastAsia="宋体"/>
                <w:b w:val="0"/>
                <w:color w:val="000000"/>
                <w:sz w:val="24"/>
                <w:szCs w:val="24"/>
                <w:shd w:val="clear" w:color="auto" w:fill="FFFFFF"/>
              </w:rPr>
              <w:t>1.08e+7</w:t>
            </w:r>
          </w:p>
        </w:tc>
        <w:tc>
          <w:tcPr>
            <w:tcW w:w="2097" w:type="dxa"/>
            <w:shd w:val="clear" w:color="auto" w:fill="FFFFFF"/>
          </w:tcPr>
          <w:p>
            <w:pPr>
              <w:jc w:val="center"/>
            </w:pPr>
            <w:r>
              <w:rPr>
                <w:rFonts w:hint="eastAsia" w:ascii="宋体" w:eastAsia="宋体"/>
                <w:b w:val="0"/>
                <w:color w:val="000000"/>
                <w:sz w:val="24"/>
                <w:szCs w:val="24"/>
                <w:shd w:val="clear" w:color="auto" w:fill="FFFFFF"/>
              </w:rPr>
              <w:t>2.35e+5</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45.91</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EY</w:t>
            </w:r>
          </w:p>
        </w:tc>
        <w:tc>
          <w:tcPr>
            <w:tcW w:w="2097" w:type="dxa"/>
            <w:shd w:val="clear" w:color="auto" w:fill="FFFFFF"/>
          </w:tcPr>
          <w:p>
            <w:pPr>
              <w:jc w:val="center"/>
            </w:pPr>
            <w:r>
              <w:rPr>
                <w:rFonts w:hint="eastAsia" w:ascii="宋体" w:eastAsia="宋体"/>
                <w:b w:val="0"/>
                <w:color w:val="000000"/>
                <w:sz w:val="24"/>
                <w:szCs w:val="24"/>
                <w:shd w:val="clear" w:color="auto" w:fill="FFFFFF"/>
              </w:rPr>
              <w:t>1.53e+6</w:t>
            </w:r>
          </w:p>
        </w:tc>
        <w:tc>
          <w:tcPr>
            <w:tcW w:w="2097" w:type="dxa"/>
            <w:shd w:val="clear" w:color="auto" w:fill="FFFFFF"/>
          </w:tcPr>
          <w:p>
            <w:pPr>
              <w:jc w:val="center"/>
            </w:pPr>
            <w:r>
              <w:rPr>
                <w:rFonts w:hint="eastAsia" w:ascii="宋体" w:eastAsia="宋体"/>
                <w:b w:val="0"/>
                <w:color w:val="000000"/>
                <w:sz w:val="24"/>
                <w:szCs w:val="24"/>
                <w:shd w:val="clear" w:color="auto" w:fill="FFFFFF"/>
              </w:rPr>
              <w:t>2.15e+5</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7.14</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WX</w:t>
            </w:r>
          </w:p>
        </w:tc>
        <w:tc>
          <w:tcPr>
            <w:tcW w:w="2097" w:type="dxa"/>
            <w:shd w:val="clear" w:color="auto" w:fill="FFFFFF"/>
          </w:tcPr>
          <w:p>
            <w:pPr>
              <w:jc w:val="center"/>
            </w:pPr>
            <w:r>
              <w:rPr>
                <w:rFonts w:hint="eastAsia" w:ascii="宋体" w:eastAsia="宋体"/>
                <w:b w:val="0"/>
                <w:color w:val="000000"/>
                <w:sz w:val="24"/>
                <w:szCs w:val="24"/>
                <w:shd w:val="clear" w:color="auto" w:fill="FFFFFF"/>
              </w:rPr>
              <w:t>1.11e+7</w:t>
            </w:r>
          </w:p>
        </w:tc>
        <w:tc>
          <w:tcPr>
            <w:tcW w:w="2097" w:type="dxa"/>
            <w:shd w:val="clear" w:color="auto" w:fill="FFFFFF"/>
          </w:tcPr>
          <w:p>
            <w:pPr>
              <w:jc w:val="center"/>
            </w:pPr>
            <w:r>
              <w:rPr>
                <w:rFonts w:hint="eastAsia" w:ascii="宋体" w:eastAsia="宋体"/>
                <w:b w:val="0"/>
                <w:color w:val="000000"/>
                <w:sz w:val="24"/>
                <w:szCs w:val="24"/>
                <w:shd w:val="clear" w:color="auto" w:fill="FFFFFF"/>
              </w:rPr>
              <w:t>16682.18</w:t>
            </w:r>
          </w:p>
        </w:tc>
        <w:tc>
          <w:tcPr>
            <w:tcW w:w="1984" w:type="dxa"/>
            <w:shd w:val="clear" w:color="auto" w:fill="FFFFFF"/>
          </w:tcPr>
          <w:p>
            <w:pPr>
              <w:jc w:val="center"/>
            </w:pPr>
            <w:r>
              <w:rPr>
                <w:rFonts w:hint="eastAsia" w:ascii="宋体" w:eastAsia="宋体"/>
                <w:b w:val="0"/>
                <w:color w:val="000000"/>
                <w:sz w:val="24"/>
                <w:szCs w:val="24"/>
                <w:shd w:val="clear" w:color="auto" w:fill="FFFFFF"/>
              </w:rPr>
              <w:t>667.85</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WY</w:t>
            </w:r>
          </w:p>
        </w:tc>
        <w:tc>
          <w:tcPr>
            <w:tcW w:w="2097" w:type="dxa"/>
            <w:shd w:val="clear" w:color="auto" w:fill="FFFFFF"/>
          </w:tcPr>
          <w:p>
            <w:pPr>
              <w:jc w:val="center"/>
            </w:pPr>
            <w:r>
              <w:rPr>
                <w:rFonts w:hint="eastAsia" w:ascii="宋体" w:eastAsia="宋体"/>
                <w:b w:val="0"/>
                <w:color w:val="000000"/>
                <w:sz w:val="24"/>
                <w:szCs w:val="24"/>
                <w:shd w:val="clear" w:color="auto" w:fill="FFFFFF"/>
              </w:rPr>
              <w:t>1.59e+6</w:t>
            </w:r>
          </w:p>
        </w:tc>
        <w:tc>
          <w:tcPr>
            <w:tcW w:w="2097" w:type="dxa"/>
            <w:shd w:val="clear" w:color="auto" w:fill="FFFFFF"/>
          </w:tcPr>
          <w:p>
            <w:pPr>
              <w:jc w:val="center"/>
            </w:pPr>
            <w:r>
              <w:rPr>
                <w:rFonts w:hint="eastAsia" w:ascii="宋体" w:eastAsia="宋体"/>
                <w:b w:val="0"/>
                <w:color w:val="000000"/>
                <w:sz w:val="24"/>
                <w:szCs w:val="24"/>
                <w:shd w:val="clear" w:color="auto" w:fill="FFFFFF"/>
              </w:rPr>
              <w:t>37476.28</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42.41</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pStyle w:val="3"/>
        <w:jc w:val="left"/>
      </w:pPr>
      <w:bookmarkStart w:id="58" w:name="_Toc32"/>
      <w:r>
        <w:rPr>
          <w:rFonts w:hint="eastAsia" w:ascii="宋体" w:eastAsia="宋体"/>
          <w:b/>
          <w:color w:val="000000"/>
          <w:sz w:val="28"/>
          <w:szCs w:val="28"/>
          <w:shd w:val="clear" w:color="auto" w:fill="FFFFFF"/>
        </w:rPr>
        <w:t>2. 整体稳定刚重比验算</w:t>
      </w:r>
      <w:bookmarkEnd w:id="58"/>
    </w:p>
    <w:p>
      <w:pPr>
        <w:spacing w:beforeLines="113" w:afterLines="113" w:line="113" w:lineRule="auto"/>
        <w:jc w:val="left"/>
      </w:pPr>
      <w:r>
        <w:rPr>
          <w:rFonts w:hint="eastAsia" w:ascii="宋体" w:eastAsia="宋体"/>
          <w:b w:val="0"/>
          <w:color w:val="000000"/>
          <w:sz w:val="24"/>
          <w:szCs w:val="24"/>
          <w:shd w:val="clear" w:color="auto" w:fill="FFFFFF"/>
        </w:rPr>
        <w:t>刚度单位： kN/m</w:t>
      </w:r>
    </w:p>
    <w:p>
      <w:pPr>
        <w:spacing w:beforeLines="113" w:afterLines="113" w:line="113" w:lineRule="auto"/>
        <w:jc w:val="left"/>
      </w:pPr>
      <w:r>
        <w:rPr>
          <w:rFonts w:hint="eastAsia" w:ascii="宋体" w:eastAsia="宋体"/>
          <w:b w:val="0"/>
          <w:color w:val="000000"/>
          <w:sz w:val="24"/>
          <w:szCs w:val="24"/>
          <w:shd w:val="clear" w:color="auto" w:fill="FFFFFF"/>
        </w:rPr>
        <w:t>层高单位： m</w:t>
      </w:r>
    </w:p>
    <w:p>
      <w:pPr>
        <w:spacing w:beforeLines="113" w:afterLines="113" w:line="113" w:lineRule="auto"/>
        <w:jc w:val="left"/>
      </w:pPr>
      <w:r>
        <w:rPr>
          <w:rFonts w:hint="eastAsia" w:ascii="宋体" w:eastAsia="宋体"/>
          <w:b w:val="0"/>
          <w:color w:val="000000"/>
          <w:sz w:val="24"/>
          <w:szCs w:val="24"/>
          <w:shd w:val="clear" w:color="auto" w:fill="FFFFFF"/>
        </w:rPr>
        <w:t>上部重量单位： kN</w:t>
      </w:r>
    </w:p>
    <w:p>
      <w:pPr>
        <w:spacing w:beforeLines="113" w:afterLines="113" w:line="113" w:lineRule="auto"/>
        <w:jc w:val="center"/>
      </w:pPr>
      <w:r>
        <w:rPr>
          <w:rFonts w:hint="eastAsia" w:ascii="黑体" w:eastAsia="黑体"/>
          <w:b/>
          <w:color w:val="000000"/>
          <w:sz w:val="26"/>
          <w:szCs w:val="26"/>
          <w:shd w:val="clear" w:color="auto" w:fill="FFFFFF"/>
        </w:rPr>
        <w:t>表13-2 整层屈曲模式的刚重比验算[高规5.4.1-2,一般用于剪切型结构]</w:t>
      </w:r>
    </w:p>
    <w:tbl>
      <w:tblPr>
        <w:tblStyle w:val="30"/>
        <w:tblW w:w="9072"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468"/>
        <w:gridCol w:w="1468"/>
        <w:gridCol w:w="1574"/>
        <w:gridCol w:w="1176"/>
        <w:gridCol w:w="1131"/>
        <w:gridCol w:w="1131"/>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tcBorders>
              <w:top w:val="single" w:color="auto" w:sz="14" w:space="0"/>
              <w:left w:val="nil"/>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X向刚度</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Y向刚度</w:t>
            </w:r>
          </w:p>
        </w:tc>
        <w:tc>
          <w:tcPr>
            <w:tcW w:w="158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层高</w:t>
            </w:r>
          </w:p>
        </w:tc>
        <w:tc>
          <w:tcPr>
            <w:tcW w:w="113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上部重量</w:t>
            </w:r>
          </w:p>
        </w:tc>
        <w:tc>
          <w:tcPr>
            <w:tcW w:w="113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X刚重比</w:t>
            </w:r>
          </w:p>
        </w:tc>
        <w:tc>
          <w:tcPr>
            <w:tcW w:w="1134" w:type="dxa"/>
            <w:tcBorders>
              <w:top w:val="single" w:color="auto" w:sz="14" w:space="0"/>
              <w:left w:val="single" w:color="auto" w:sz="4" w:space="0"/>
              <w:bottom w:val="single" w:color="auto" w:sz="14" w:space="0"/>
              <w:right w:val="nil"/>
            </w:tcBorders>
            <w:shd w:val="clear" w:color="auto" w:fill="FFFFFF"/>
          </w:tcPr>
          <w:p>
            <w:pPr>
              <w:jc w:val="center"/>
            </w:pPr>
            <w:r>
              <w:rPr>
                <w:rFonts w:hint="eastAsia" w:ascii="宋体" w:eastAsia="宋体"/>
                <w:b w:val="0"/>
                <w:color w:val="000000"/>
                <w:sz w:val="24"/>
                <w:szCs w:val="24"/>
                <w:shd w:val="clear" w:color="auto" w:fill="FFFFFF"/>
              </w:rPr>
              <w:t>Y刚重比</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tcPr>
          <w:p>
            <w:pPr>
              <w:jc w:val="center"/>
            </w:pPr>
            <w:r>
              <w:rPr>
                <w:rFonts w:hint="eastAsia" w:ascii="宋体" w:eastAsia="宋体"/>
                <w:b w:val="0"/>
                <w:color w:val="000000"/>
                <w:sz w:val="24"/>
                <w:szCs w:val="24"/>
                <w:shd w:val="clear" w:color="auto" w:fill="FFFFFF"/>
              </w:rPr>
              <w:t>6</w:t>
            </w:r>
          </w:p>
        </w:tc>
        <w:tc>
          <w:tcPr>
            <w:tcW w:w="1474" w:type="dxa"/>
            <w:shd w:val="clear" w:color="auto" w:fill="FFFFFF"/>
          </w:tcPr>
          <w:p>
            <w:pPr>
              <w:jc w:val="center"/>
            </w:pPr>
            <w:r>
              <w:rPr>
                <w:rFonts w:hint="eastAsia" w:ascii="宋体" w:eastAsia="宋体"/>
                <w:b w:val="0"/>
                <w:color w:val="000000"/>
                <w:sz w:val="24"/>
                <w:szCs w:val="24"/>
                <w:shd w:val="clear" w:color="auto" w:fill="FFFFFF"/>
              </w:rPr>
              <w:t>5.68e+5</w:t>
            </w:r>
          </w:p>
        </w:tc>
        <w:tc>
          <w:tcPr>
            <w:tcW w:w="1474" w:type="dxa"/>
            <w:shd w:val="clear" w:color="auto" w:fill="FFFFFF"/>
          </w:tcPr>
          <w:p>
            <w:pPr>
              <w:jc w:val="center"/>
            </w:pPr>
            <w:r>
              <w:rPr>
                <w:rFonts w:hint="eastAsia" w:ascii="宋体" w:eastAsia="宋体"/>
                <w:b w:val="0"/>
                <w:color w:val="000000"/>
                <w:sz w:val="24"/>
                <w:szCs w:val="24"/>
                <w:shd w:val="clear" w:color="auto" w:fill="FFFFFF"/>
              </w:rPr>
              <w:t>5.02e+5</w:t>
            </w:r>
          </w:p>
        </w:tc>
        <w:tc>
          <w:tcPr>
            <w:tcW w:w="1587" w:type="dxa"/>
            <w:shd w:val="clear" w:color="auto" w:fill="FFFFFF"/>
          </w:tcPr>
          <w:p>
            <w:pPr>
              <w:jc w:val="center"/>
            </w:pPr>
            <w:r>
              <w:rPr>
                <w:rFonts w:hint="eastAsia" w:ascii="宋体" w:eastAsia="宋体"/>
                <w:b w:val="0"/>
                <w:color w:val="000000"/>
                <w:sz w:val="24"/>
                <w:szCs w:val="24"/>
                <w:shd w:val="clear" w:color="auto" w:fill="FFFFFF"/>
              </w:rPr>
              <w:t>5.40</w:t>
            </w:r>
          </w:p>
        </w:tc>
        <w:tc>
          <w:tcPr>
            <w:tcW w:w="1134" w:type="dxa"/>
            <w:shd w:val="clear" w:color="auto" w:fill="FFFFFF"/>
          </w:tcPr>
          <w:p>
            <w:pPr>
              <w:jc w:val="center"/>
            </w:pPr>
            <w:r>
              <w:rPr>
                <w:rFonts w:hint="eastAsia" w:ascii="宋体" w:eastAsia="宋体"/>
                <w:b w:val="0"/>
                <w:color w:val="000000"/>
                <w:sz w:val="24"/>
                <w:szCs w:val="24"/>
                <w:shd w:val="clear" w:color="auto" w:fill="FFFFFF"/>
              </w:rPr>
              <w:t>36053.82</w:t>
            </w:r>
          </w:p>
        </w:tc>
        <w:tc>
          <w:tcPr>
            <w:tcW w:w="1134" w:type="dxa"/>
            <w:shd w:val="clear" w:color="auto" w:fill="FFFFFF"/>
          </w:tcPr>
          <w:p>
            <w:pPr>
              <w:jc w:val="center"/>
            </w:pPr>
            <w:r>
              <w:rPr>
                <w:rFonts w:hint="eastAsia" w:ascii="宋体" w:eastAsia="宋体"/>
                <w:b w:val="0"/>
                <w:color w:val="000000"/>
                <w:sz w:val="24"/>
                <w:szCs w:val="24"/>
                <w:shd w:val="clear" w:color="auto" w:fill="FFFFFF"/>
              </w:rPr>
              <w:t xml:space="preserve"> 85.10</w:t>
            </w:r>
          </w:p>
        </w:tc>
        <w:tc>
          <w:tcPr>
            <w:tcW w:w="1134" w:type="dxa"/>
            <w:shd w:val="clear" w:color="auto" w:fill="FFFFFF"/>
          </w:tcPr>
          <w:p>
            <w:pPr>
              <w:jc w:val="center"/>
            </w:pPr>
            <w:r>
              <w:rPr>
                <w:rFonts w:hint="eastAsia" w:ascii="宋体" w:eastAsia="宋体"/>
                <w:b w:val="0"/>
                <w:color w:val="000000"/>
                <w:sz w:val="24"/>
                <w:szCs w:val="24"/>
                <w:shd w:val="clear" w:color="auto" w:fill="FFFFFF"/>
              </w:rPr>
              <w:t xml:space="preserve"> 75.14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tcPr>
          <w:p>
            <w:pPr>
              <w:jc w:val="center"/>
            </w:pPr>
            <w:r>
              <w:rPr>
                <w:rFonts w:hint="eastAsia" w:ascii="宋体" w:eastAsia="宋体"/>
                <w:b w:val="0"/>
                <w:color w:val="000000"/>
                <w:sz w:val="24"/>
                <w:szCs w:val="24"/>
                <w:shd w:val="clear" w:color="auto" w:fill="FFFFFF"/>
              </w:rPr>
              <w:t>5</w:t>
            </w:r>
          </w:p>
        </w:tc>
        <w:tc>
          <w:tcPr>
            <w:tcW w:w="1474" w:type="dxa"/>
            <w:shd w:val="clear" w:color="auto" w:fill="FFFFFF"/>
          </w:tcPr>
          <w:p>
            <w:pPr>
              <w:jc w:val="center"/>
            </w:pPr>
            <w:r>
              <w:rPr>
                <w:rFonts w:hint="eastAsia" w:ascii="宋体" w:eastAsia="宋体"/>
                <w:b w:val="0"/>
                <w:color w:val="000000"/>
                <w:sz w:val="24"/>
                <w:szCs w:val="24"/>
                <w:shd w:val="clear" w:color="auto" w:fill="FFFFFF"/>
              </w:rPr>
              <w:t>1.55e+6</w:t>
            </w:r>
          </w:p>
        </w:tc>
        <w:tc>
          <w:tcPr>
            <w:tcW w:w="1474" w:type="dxa"/>
            <w:shd w:val="clear" w:color="auto" w:fill="FFFFFF"/>
          </w:tcPr>
          <w:p>
            <w:pPr>
              <w:jc w:val="center"/>
            </w:pPr>
            <w:r>
              <w:rPr>
                <w:rFonts w:hint="eastAsia" w:ascii="宋体" w:eastAsia="宋体"/>
                <w:b w:val="0"/>
                <w:color w:val="000000"/>
                <w:sz w:val="24"/>
                <w:szCs w:val="24"/>
                <w:shd w:val="clear" w:color="auto" w:fill="FFFFFF"/>
              </w:rPr>
              <w:t>1.25e+6</w:t>
            </w:r>
          </w:p>
        </w:tc>
        <w:tc>
          <w:tcPr>
            <w:tcW w:w="1587" w:type="dxa"/>
            <w:shd w:val="clear" w:color="auto" w:fill="FFFFFF"/>
          </w:tcPr>
          <w:p>
            <w:pPr>
              <w:jc w:val="center"/>
            </w:pPr>
            <w:r>
              <w:rPr>
                <w:rFonts w:hint="eastAsia" w:ascii="宋体" w:eastAsia="宋体"/>
                <w:b w:val="0"/>
                <w:color w:val="000000"/>
                <w:sz w:val="24"/>
                <w:szCs w:val="24"/>
                <w:shd w:val="clear" w:color="auto" w:fill="FFFFFF"/>
              </w:rPr>
              <w:t>3.90</w:t>
            </w:r>
          </w:p>
        </w:tc>
        <w:tc>
          <w:tcPr>
            <w:tcW w:w="1134" w:type="dxa"/>
            <w:shd w:val="clear" w:color="auto" w:fill="FFFFFF"/>
          </w:tcPr>
          <w:p>
            <w:pPr>
              <w:jc w:val="center"/>
            </w:pPr>
            <w:r>
              <w:rPr>
                <w:rFonts w:hint="eastAsia" w:ascii="宋体" w:eastAsia="宋体"/>
                <w:b w:val="0"/>
                <w:color w:val="000000"/>
                <w:sz w:val="24"/>
                <w:szCs w:val="24"/>
                <w:shd w:val="clear" w:color="auto" w:fill="FFFFFF"/>
              </w:rPr>
              <w:t>91342.10</w:t>
            </w:r>
          </w:p>
        </w:tc>
        <w:tc>
          <w:tcPr>
            <w:tcW w:w="1134" w:type="dxa"/>
            <w:shd w:val="clear" w:color="auto" w:fill="FFFFFF"/>
          </w:tcPr>
          <w:p>
            <w:pPr>
              <w:jc w:val="center"/>
            </w:pPr>
            <w:r>
              <w:rPr>
                <w:rFonts w:hint="eastAsia" w:ascii="宋体" w:eastAsia="宋体"/>
                <w:b w:val="0"/>
                <w:color w:val="000000"/>
                <w:sz w:val="24"/>
                <w:szCs w:val="24"/>
                <w:shd w:val="clear" w:color="auto" w:fill="FFFFFF"/>
              </w:rPr>
              <w:t xml:space="preserve"> 66.00</w:t>
            </w:r>
          </w:p>
        </w:tc>
        <w:tc>
          <w:tcPr>
            <w:tcW w:w="1134" w:type="dxa"/>
            <w:shd w:val="clear" w:color="auto" w:fill="FFFFFF"/>
          </w:tcPr>
          <w:p>
            <w:pPr>
              <w:jc w:val="center"/>
            </w:pPr>
            <w:r>
              <w:rPr>
                <w:rFonts w:hint="eastAsia" w:ascii="宋体" w:eastAsia="宋体"/>
                <w:b w:val="0"/>
                <w:color w:val="000000"/>
                <w:sz w:val="24"/>
                <w:szCs w:val="24"/>
                <w:shd w:val="clear" w:color="auto" w:fill="FFFFFF"/>
              </w:rPr>
              <w:t xml:space="preserve"> 53.26</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tcPr>
          <w:p>
            <w:pPr>
              <w:jc w:val="center"/>
            </w:pPr>
            <w:r>
              <w:rPr>
                <w:rFonts w:hint="eastAsia" w:ascii="宋体" w:eastAsia="宋体"/>
                <w:b w:val="0"/>
                <w:color w:val="000000"/>
                <w:sz w:val="24"/>
                <w:szCs w:val="24"/>
                <w:shd w:val="clear" w:color="auto" w:fill="FFFFFF"/>
              </w:rPr>
              <w:t>4</w:t>
            </w:r>
          </w:p>
        </w:tc>
        <w:tc>
          <w:tcPr>
            <w:tcW w:w="1474" w:type="dxa"/>
            <w:shd w:val="clear" w:color="auto" w:fill="FFFFFF"/>
          </w:tcPr>
          <w:p>
            <w:pPr>
              <w:jc w:val="center"/>
            </w:pPr>
            <w:r>
              <w:rPr>
                <w:rFonts w:hint="eastAsia" w:ascii="宋体" w:eastAsia="宋体"/>
                <w:b w:val="0"/>
                <w:color w:val="000000"/>
                <w:sz w:val="24"/>
                <w:szCs w:val="24"/>
                <w:shd w:val="clear" w:color="auto" w:fill="FFFFFF"/>
              </w:rPr>
              <w:t>1.65e+6</w:t>
            </w:r>
          </w:p>
        </w:tc>
        <w:tc>
          <w:tcPr>
            <w:tcW w:w="1474" w:type="dxa"/>
            <w:shd w:val="clear" w:color="auto" w:fill="FFFFFF"/>
          </w:tcPr>
          <w:p>
            <w:pPr>
              <w:jc w:val="center"/>
            </w:pPr>
            <w:r>
              <w:rPr>
                <w:rFonts w:hint="eastAsia" w:ascii="宋体" w:eastAsia="宋体"/>
                <w:b w:val="0"/>
                <w:color w:val="000000"/>
                <w:sz w:val="24"/>
                <w:szCs w:val="24"/>
                <w:shd w:val="clear" w:color="auto" w:fill="FFFFFF"/>
              </w:rPr>
              <w:t>1.41e+6</w:t>
            </w:r>
          </w:p>
        </w:tc>
        <w:tc>
          <w:tcPr>
            <w:tcW w:w="1587" w:type="dxa"/>
            <w:shd w:val="clear" w:color="auto" w:fill="FFFFFF"/>
          </w:tcPr>
          <w:p>
            <w:pPr>
              <w:jc w:val="center"/>
            </w:pPr>
            <w:r>
              <w:rPr>
                <w:rFonts w:hint="eastAsia" w:ascii="宋体" w:eastAsia="宋体"/>
                <w:b w:val="0"/>
                <w:color w:val="000000"/>
                <w:sz w:val="24"/>
                <w:szCs w:val="24"/>
                <w:shd w:val="clear" w:color="auto" w:fill="FFFFFF"/>
              </w:rPr>
              <w:t>3.90</w:t>
            </w:r>
          </w:p>
        </w:tc>
        <w:tc>
          <w:tcPr>
            <w:tcW w:w="1134" w:type="dxa"/>
            <w:shd w:val="clear" w:color="auto" w:fill="FFFFFF"/>
          </w:tcPr>
          <w:p>
            <w:pPr>
              <w:jc w:val="center"/>
            </w:pPr>
            <w:r>
              <w:rPr>
                <w:rFonts w:hint="eastAsia" w:ascii="宋体" w:eastAsia="宋体"/>
                <w:b w:val="0"/>
                <w:color w:val="000000"/>
                <w:sz w:val="24"/>
                <w:szCs w:val="24"/>
                <w:shd w:val="clear" w:color="auto" w:fill="FFFFFF"/>
              </w:rPr>
              <w:t>1.39e+5</w:t>
            </w:r>
          </w:p>
        </w:tc>
        <w:tc>
          <w:tcPr>
            <w:tcW w:w="1134" w:type="dxa"/>
            <w:shd w:val="clear" w:color="auto" w:fill="FFFFFF"/>
          </w:tcPr>
          <w:p>
            <w:pPr>
              <w:jc w:val="center"/>
            </w:pPr>
            <w:r>
              <w:rPr>
                <w:rFonts w:hint="eastAsia" w:ascii="宋体" w:eastAsia="宋体"/>
                <w:b w:val="0"/>
                <w:color w:val="000000"/>
                <w:sz w:val="24"/>
                <w:szCs w:val="24"/>
                <w:shd w:val="clear" w:color="auto" w:fill="FFFFFF"/>
              </w:rPr>
              <w:t xml:space="preserve"> 46.33</w:t>
            </w:r>
          </w:p>
        </w:tc>
        <w:tc>
          <w:tcPr>
            <w:tcW w:w="1134" w:type="dxa"/>
            <w:shd w:val="clear" w:color="auto" w:fill="FFFFFF"/>
          </w:tcPr>
          <w:p>
            <w:pPr>
              <w:jc w:val="center"/>
            </w:pPr>
            <w:r>
              <w:rPr>
                <w:rFonts w:hint="eastAsia" w:ascii="宋体" w:eastAsia="宋体"/>
                <w:b w:val="0"/>
                <w:color w:val="000000"/>
                <w:sz w:val="24"/>
                <w:szCs w:val="24"/>
                <w:shd w:val="clear" w:color="auto" w:fill="FFFFFF"/>
              </w:rPr>
              <w:t xml:space="preserve"> 39.61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tcPr>
          <w:p>
            <w:pPr>
              <w:jc w:val="center"/>
            </w:pPr>
            <w:r>
              <w:rPr>
                <w:rFonts w:hint="eastAsia" w:ascii="宋体" w:eastAsia="宋体"/>
                <w:b w:val="0"/>
                <w:color w:val="000000"/>
                <w:sz w:val="24"/>
                <w:szCs w:val="24"/>
                <w:shd w:val="clear" w:color="auto" w:fill="FFFFFF"/>
              </w:rPr>
              <w:t>3</w:t>
            </w:r>
          </w:p>
        </w:tc>
        <w:tc>
          <w:tcPr>
            <w:tcW w:w="1474" w:type="dxa"/>
            <w:shd w:val="clear" w:color="auto" w:fill="FFFFFF"/>
          </w:tcPr>
          <w:p>
            <w:pPr>
              <w:jc w:val="center"/>
            </w:pPr>
            <w:r>
              <w:rPr>
                <w:rFonts w:hint="eastAsia" w:ascii="宋体" w:eastAsia="宋体"/>
                <w:b w:val="0"/>
                <w:color w:val="000000"/>
                <w:sz w:val="24"/>
                <w:szCs w:val="24"/>
                <w:shd w:val="clear" w:color="auto" w:fill="FFFFFF"/>
              </w:rPr>
              <w:t>1.73e+6</w:t>
            </w:r>
          </w:p>
        </w:tc>
        <w:tc>
          <w:tcPr>
            <w:tcW w:w="1474" w:type="dxa"/>
            <w:shd w:val="clear" w:color="auto" w:fill="FFFFFF"/>
          </w:tcPr>
          <w:p>
            <w:pPr>
              <w:jc w:val="center"/>
            </w:pPr>
            <w:r>
              <w:rPr>
                <w:rFonts w:hint="eastAsia" w:ascii="宋体" w:eastAsia="宋体"/>
                <w:b w:val="0"/>
                <w:color w:val="000000"/>
                <w:sz w:val="24"/>
                <w:szCs w:val="24"/>
                <w:shd w:val="clear" w:color="auto" w:fill="FFFFFF"/>
              </w:rPr>
              <w:t>1.62e+6</w:t>
            </w:r>
          </w:p>
        </w:tc>
        <w:tc>
          <w:tcPr>
            <w:tcW w:w="1587" w:type="dxa"/>
            <w:shd w:val="clear" w:color="auto" w:fill="FFFFFF"/>
          </w:tcPr>
          <w:p>
            <w:pPr>
              <w:jc w:val="center"/>
            </w:pPr>
            <w:r>
              <w:rPr>
                <w:rFonts w:hint="eastAsia" w:ascii="宋体" w:eastAsia="宋体"/>
                <w:b w:val="0"/>
                <w:color w:val="000000"/>
                <w:sz w:val="24"/>
                <w:szCs w:val="24"/>
                <w:shd w:val="clear" w:color="auto" w:fill="FFFFFF"/>
              </w:rPr>
              <w:t>3.90</w:t>
            </w:r>
          </w:p>
        </w:tc>
        <w:tc>
          <w:tcPr>
            <w:tcW w:w="1134" w:type="dxa"/>
            <w:shd w:val="clear" w:color="auto" w:fill="FFFFFF"/>
          </w:tcPr>
          <w:p>
            <w:pPr>
              <w:jc w:val="center"/>
            </w:pPr>
            <w:r>
              <w:rPr>
                <w:rFonts w:hint="eastAsia" w:ascii="宋体" w:eastAsia="宋体"/>
                <w:b w:val="0"/>
                <w:color w:val="000000"/>
                <w:sz w:val="24"/>
                <w:szCs w:val="24"/>
                <w:shd w:val="clear" w:color="auto" w:fill="FFFFFF"/>
              </w:rPr>
              <w:t>1.86e+5</w:t>
            </w:r>
          </w:p>
        </w:tc>
        <w:tc>
          <w:tcPr>
            <w:tcW w:w="1134" w:type="dxa"/>
            <w:shd w:val="clear" w:color="auto" w:fill="FFFFFF"/>
          </w:tcPr>
          <w:p>
            <w:pPr>
              <w:jc w:val="center"/>
            </w:pPr>
            <w:r>
              <w:rPr>
                <w:rFonts w:hint="eastAsia" w:ascii="宋体" w:eastAsia="宋体"/>
                <w:b w:val="0"/>
                <w:color w:val="000000"/>
                <w:sz w:val="24"/>
                <w:szCs w:val="24"/>
                <w:shd w:val="clear" w:color="auto" w:fill="FFFFFF"/>
              </w:rPr>
              <w:t xml:space="preserve"> 36.17</w:t>
            </w:r>
          </w:p>
        </w:tc>
        <w:tc>
          <w:tcPr>
            <w:tcW w:w="1134" w:type="dxa"/>
            <w:shd w:val="clear" w:color="auto" w:fill="FFFFFF"/>
          </w:tcPr>
          <w:p>
            <w:pPr>
              <w:jc w:val="center"/>
            </w:pPr>
            <w:r>
              <w:rPr>
                <w:rFonts w:hint="eastAsia" w:ascii="宋体" w:eastAsia="宋体"/>
                <w:b w:val="0"/>
                <w:color w:val="000000"/>
                <w:sz w:val="24"/>
                <w:szCs w:val="24"/>
                <w:shd w:val="clear" w:color="auto" w:fill="FFFFFF"/>
              </w:rPr>
              <w:t xml:space="preserve"> 33.89</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tcPr>
          <w:p>
            <w:pPr>
              <w:jc w:val="center"/>
            </w:pPr>
            <w:r>
              <w:rPr>
                <w:rFonts w:hint="eastAsia" w:ascii="宋体" w:eastAsia="宋体"/>
                <w:b w:val="0"/>
                <w:color w:val="000000"/>
                <w:sz w:val="24"/>
                <w:szCs w:val="24"/>
                <w:shd w:val="clear" w:color="auto" w:fill="FFFFFF"/>
              </w:rPr>
              <w:t>2</w:t>
            </w:r>
          </w:p>
        </w:tc>
        <w:tc>
          <w:tcPr>
            <w:tcW w:w="1474" w:type="dxa"/>
            <w:shd w:val="clear" w:color="auto" w:fill="FFFFFF"/>
          </w:tcPr>
          <w:p>
            <w:pPr>
              <w:jc w:val="center"/>
            </w:pPr>
            <w:r>
              <w:rPr>
                <w:rFonts w:hint="eastAsia" w:ascii="宋体" w:eastAsia="宋体"/>
                <w:b w:val="0"/>
                <w:color w:val="000000"/>
                <w:sz w:val="24"/>
                <w:szCs w:val="24"/>
                <w:shd w:val="clear" w:color="auto" w:fill="FFFFFF"/>
              </w:rPr>
              <w:t>1.85e+6</w:t>
            </w:r>
          </w:p>
        </w:tc>
        <w:tc>
          <w:tcPr>
            <w:tcW w:w="1474" w:type="dxa"/>
            <w:shd w:val="clear" w:color="auto" w:fill="FFFFFF"/>
          </w:tcPr>
          <w:p>
            <w:pPr>
              <w:jc w:val="center"/>
            </w:pPr>
            <w:r>
              <w:rPr>
                <w:rFonts w:hint="eastAsia" w:ascii="宋体" w:eastAsia="宋体"/>
                <w:b w:val="0"/>
                <w:color w:val="000000"/>
                <w:sz w:val="24"/>
                <w:szCs w:val="24"/>
                <w:shd w:val="clear" w:color="auto" w:fill="FFFFFF"/>
              </w:rPr>
              <w:t>1.77e+6</w:t>
            </w:r>
          </w:p>
        </w:tc>
        <w:tc>
          <w:tcPr>
            <w:tcW w:w="1587" w:type="dxa"/>
            <w:shd w:val="clear" w:color="auto" w:fill="FFFFFF"/>
          </w:tcPr>
          <w:p>
            <w:pPr>
              <w:jc w:val="center"/>
            </w:pPr>
            <w:r>
              <w:rPr>
                <w:rFonts w:hint="eastAsia" w:ascii="宋体" w:eastAsia="宋体"/>
                <w:b w:val="0"/>
                <w:color w:val="000000"/>
                <w:sz w:val="24"/>
                <w:szCs w:val="24"/>
                <w:shd w:val="clear" w:color="auto" w:fill="FFFFFF"/>
              </w:rPr>
              <w:t>4.20</w:t>
            </w:r>
          </w:p>
        </w:tc>
        <w:tc>
          <w:tcPr>
            <w:tcW w:w="1134" w:type="dxa"/>
            <w:shd w:val="clear" w:color="auto" w:fill="FFFFFF"/>
          </w:tcPr>
          <w:p>
            <w:pPr>
              <w:jc w:val="center"/>
            </w:pPr>
            <w:r>
              <w:rPr>
                <w:rFonts w:hint="eastAsia" w:ascii="宋体" w:eastAsia="宋体"/>
                <w:b w:val="0"/>
                <w:color w:val="000000"/>
                <w:sz w:val="24"/>
                <w:szCs w:val="24"/>
                <w:shd w:val="clear" w:color="auto" w:fill="FFFFFF"/>
              </w:rPr>
              <w:t>2.36e+5</w:t>
            </w:r>
          </w:p>
        </w:tc>
        <w:tc>
          <w:tcPr>
            <w:tcW w:w="1134" w:type="dxa"/>
            <w:shd w:val="clear" w:color="auto" w:fill="FFFFFF"/>
          </w:tcPr>
          <w:p>
            <w:pPr>
              <w:jc w:val="center"/>
            </w:pPr>
            <w:r>
              <w:rPr>
                <w:rFonts w:hint="eastAsia" w:ascii="宋体" w:eastAsia="宋体"/>
                <w:b w:val="0"/>
                <w:color w:val="000000"/>
                <w:sz w:val="24"/>
                <w:szCs w:val="24"/>
                <w:shd w:val="clear" w:color="auto" w:fill="FFFFFF"/>
              </w:rPr>
              <w:t xml:space="preserve"> 32.86</w:t>
            </w:r>
          </w:p>
        </w:tc>
        <w:tc>
          <w:tcPr>
            <w:tcW w:w="1134" w:type="dxa"/>
            <w:shd w:val="clear" w:color="auto" w:fill="FFFFFF"/>
          </w:tcPr>
          <w:p>
            <w:pPr>
              <w:jc w:val="center"/>
            </w:pPr>
            <w:r>
              <w:rPr>
                <w:rFonts w:hint="eastAsia" w:ascii="宋体" w:eastAsia="宋体"/>
                <w:b w:val="0"/>
                <w:color w:val="000000"/>
                <w:sz w:val="24"/>
                <w:szCs w:val="24"/>
                <w:shd w:val="clear" w:color="auto" w:fill="FFFFFF"/>
              </w:rPr>
              <w:t xml:space="preserve"> 31.50</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FFFFFF"/>
          </w:tcPr>
          <w:p>
            <w:pPr>
              <w:jc w:val="center"/>
            </w:pPr>
            <w:r>
              <w:rPr>
                <w:rFonts w:hint="eastAsia" w:ascii="宋体" w:eastAsia="宋体"/>
                <w:b w:val="0"/>
                <w:color w:val="000000"/>
                <w:sz w:val="24"/>
                <w:szCs w:val="24"/>
                <w:shd w:val="clear" w:color="auto" w:fill="FFFFFF"/>
              </w:rPr>
              <w:t>1</w:t>
            </w:r>
          </w:p>
        </w:tc>
        <w:tc>
          <w:tcPr>
            <w:tcW w:w="1474" w:type="dxa"/>
            <w:shd w:val="clear" w:color="auto" w:fill="FFFFFF"/>
          </w:tcPr>
          <w:p>
            <w:pPr>
              <w:jc w:val="center"/>
            </w:pPr>
            <w:r>
              <w:rPr>
                <w:rFonts w:hint="eastAsia" w:ascii="宋体" w:eastAsia="宋体"/>
                <w:b w:val="0"/>
                <w:color w:val="000000"/>
                <w:sz w:val="24"/>
                <w:szCs w:val="24"/>
                <w:shd w:val="clear" w:color="auto" w:fill="FFFFFF"/>
              </w:rPr>
              <w:t>1.52e+7</w:t>
            </w:r>
          </w:p>
        </w:tc>
        <w:tc>
          <w:tcPr>
            <w:tcW w:w="1474" w:type="dxa"/>
            <w:shd w:val="clear" w:color="auto" w:fill="FFFFFF"/>
          </w:tcPr>
          <w:p>
            <w:pPr>
              <w:jc w:val="center"/>
            </w:pPr>
            <w:r>
              <w:rPr>
                <w:rFonts w:hint="eastAsia" w:ascii="宋体" w:eastAsia="宋体"/>
                <w:b w:val="0"/>
                <w:color w:val="000000"/>
                <w:sz w:val="24"/>
                <w:szCs w:val="24"/>
                <w:shd w:val="clear" w:color="auto" w:fill="FFFFFF"/>
              </w:rPr>
              <w:t>8.72e+6</w:t>
            </w:r>
          </w:p>
        </w:tc>
        <w:tc>
          <w:tcPr>
            <w:tcW w:w="1587" w:type="dxa"/>
            <w:shd w:val="clear" w:color="auto" w:fill="FFFFFF"/>
          </w:tcPr>
          <w:p>
            <w:pPr>
              <w:jc w:val="center"/>
            </w:pPr>
            <w:r>
              <w:rPr>
                <w:rFonts w:hint="eastAsia" w:ascii="宋体" w:eastAsia="宋体"/>
                <w:b w:val="0"/>
                <w:color w:val="000000"/>
                <w:sz w:val="24"/>
                <w:szCs w:val="24"/>
                <w:shd w:val="clear" w:color="auto" w:fill="FFFFFF"/>
              </w:rPr>
              <w:t>4.50</w:t>
            </w:r>
          </w:p>
        </w:tc>
        <w:tc>
          <w:tcPr>
            <w:tcW w:w="1134" w:type="dxa"/>
            <w:shd w:val="clear" w:color="auto" w:fill="FFFFFF"/>
          </w:tcPr>
          <w:p>
            <w:pPr>
              <w:jc w:val="center"/>
            </w:pPr>
            <w:r>
              <w:rPr>
                <w:rFonts w:hint="eastAsia" w:ascii="宋体" w:eastAsia="宋体"/>
                <w:b w:val="0"/>
                <w:color w:val="000000"/>
                <w:sz w:val="24"/>
                <w:szCs w:val="24"/>
                <w:shd w:val="clear" w:color="auto" w:fill="FFFFFF"/>
              </w:rPr>
              <w:t>2.76e+5</w:t>
            </w:r>
          </w:p>
        </w:tc>
        <w:tc>
          <w:tcPr>
            <w:tcW w:w="1134" w:type="dxa"/>
            <w:shd w:val="clear" w:color="auto" w:fill="FFFFFF"/>
          </w:tcPr>
          <w:p>
            <w:pPr>
              <w:jc w:val="center"/>
            </w:pPr>
            <w:r>
              <w:rPr>
                <w:rFonts w:hint="eastAsia" w:ascii="宋体" w:eastAsia="宋体"/>
                <w:b w:val="0"/>
                <w:color w:val="000000"/>
                <w:sz w:val="24"/>
                <w:szCs w:val="24"/>
                <w:shd w:val="clear" w:color="auto" w:fill="FFFFFF"/>
              </w:rPr>
              <w:t>247.41</w:t>
            </w:r>
          </w:p>
        </w:tc>
        <w:tc>
          <w:tcPr>
            <w:tcW w:w="1134" w:type="dxa"/>
            <w:shd w:val="clear" w:color="auto" w:fill="FFFFFF"/>
          </w:tcPr>
          <w:p>
            <w:pPr>
              <w:jc w:val="center"/>
            </w:pPr>
            <w:r>
              <w:rPr>
                <w:rFonts w:hint="eastAsia" w:ascii="宋体" w:eastAsia="宋体"/>
                <w:b w:val="0"/>
                <w:color w:val="000000"/>
                <w:sz w:val="24"/>
                <w:szCs w:val="24"/>
                <w:shd w:val="clear" w:color="auto" w:fill="FFFFFF"/>
              </w:rPr>
              <w:t>142.14</w:t>
            </w:r>
          </w:p>
        </w:tc>
      </w:tr>
    </w:tbl>
    <w:p>
      <w:pPr>
        <w:spacing w:beforeLines="113" w:afterLines="113" w:line="113" w:lineRule="auto"/>
        <w:jc w:val="left"/>
      </w:pPr>
      <w:r>
        <w:rPr>
          <w:rFonts w:hint="eastAsia" w:ascii="宋体" w:eastAsia="宋体"/>
          <w:b w:val="0"/>
          <w:color w:val="000000"/>
          <w:sz w:val="24"/>
          <w:szCs w:val="24"/>
          <w:shd w:val="clear" w:color="auto" w:fill="FFFFFF"/>
        </w:rPr>
        <w:t>该结构最小刚重比Di*Hi/Gi（31.50,第2层）不小于20,可以不考虑重力二阶效应</w:t>
      </w:r>
    </w:p>
    <w:p>
      <w:pPr>
        <w:spacing w:beforeLines="113" w:afterLines="113" w:line="113" w:lineRule="auto"/>
        <w:jc w:val="left"/>
      </w:pPr>
      <w:r>
        <w:rPr>
          <w:rFonts w:hint="eastAsia" w:ascii="宋体" w:eastAsia="宋体"/>
          <w:b w:val="0"/>
          <w:color w:val="000000"/>
          <w:sz w:val="24"/>
          <w:szCs w:val="24"/>
          <w:shd w:val="clear" w:color="auto" w:fill="FFFFFF"/>
        </w:rPr>
        <w:t>该结构最小刚重比Di*Hi/Gi不小于10,能够通过高规(5.4.4)的整体稳定验算</w:t>
      </w:r>
    </w:p>
    <w:p>
      <w:pPr>
        <w:spacing w:beforeLines="113" w:afterLines="113" w:line="113" w:lineRule="auto"/>
        <w:jc w:val="left"/>
      </w:pPr>
    </w:p>
    <w:p>
      <w:pPr>
        <w:pStyle w:val="3"/>
        <w:jc w:val="left"/>
      </w:pPr>
      <w:bookmarkStart w:id="59" w:name="_Toc33"/>
      <w:r>
        <w:rPr>
          <w:rFonts w:hint="eastAsia" w:ascii="宋体" w:eastAsia="宋体"/>
          <w:b/>
          <w:color w:val="000000"/>
          <w:sz w:val="28"/>
          <w:szCs w:val="28"/>
          <w:shd w:val="clear" w:color="auto" w:fill="FFFFFF"/>
        </w:rPr>
        <w:t>3. 二阶效应系数及内力放大</w:t>
      </w:r>
      <w:bookmarkEnd w:id="59"/>
    </w:p>
    <w:p>
      <w:pPr>
        <w:spacing w:beforeLines="113" w:afterLines="113" w:line="113" w:lineRule="auto"/>
        <w:jc w:val="left"/>
      </w:pPr>
      <w:r>
        <w:rPr>
          <w:rFonts w:hint="eastAsia" w:ascii="楷体" w:eastAsia="楷体"/>
          <w:b/>
          <w:color w:val="0000FF"/>
          <w:sz w:val="24"/>
          <w:szCs w:val="24"/>
          <w:shd w:val="clear" w:color="auto" w:fill="FFFFFF"/>
        </w:rPr>
        <w:t>《钢结构标准》GB50017-2017 5.1.6条规定：框架柱的稳定计算应符合以下规定：结构内力分析可采用一阶线弹性分析或二阶线弹性分析。当二阶效应系数小于0.1时，可采用一阶弹性分析；大于0.1且小于0.25时，宜采用二阶线弹性分析或直接分析；大于0.25时，应增大结构的侧移刚度。</w:t>
      </w:r>
    </w:p>
    <w:p>
      <w:pPr>
        <w:spacing w:beforeLines="113" w:afterLines="113" w:line="113" w:lineRule="auto"/>
        <w:jc w:val="left"/>
      </w:pPr>
      <w:r>
        <w:rPr>
          <w:rFonts w:hint="eastAsia" w:ascii="楷体" w:eastAsia="楷体"/>
          <w:b/>
          <w:color w:val="0000FF"/>
          <w:sz w:val="24"/>
          <w:szCs w:val="24"/>
          <w:shd w:val="clear" w:color="auto" w:fill="FFFFFF"/>
        </w:rPr>
        <w:t>结构最大二阶效应系数(0.04，2层2塔）不大于0.1，结构内力分析可采用一阶弹性分析，结构最大二阶效应系数(0.04，2层2塔）不大于0.25，能通过《钢结构标准》GB50017-2017(5.1.6)的稳定计算。</w:t>
      </w:r>
    </w:p>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θx,θy: </w:t>
      </w:r>
      <w:r>
        <w:rPr>
          <w:rFonts w:hint="eastAsia" w:ascii="宋体" w:eastAsia="宋体"/>
          <w:b w:val="0"/>
          <w:color w:val="000000"/>
          <w:sz w:val="24"/>
          <w:szCs w:val="24"/>
          <w:shd w:val="clear" w:color="auto" w:fill="FFFFFF"/>
        </w:rPr>
        <w:t>按《钢结构标准》GB50017-2017 5.1.6计算的二阶效应系数</w:t>
      </w:r>
    </w:p>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刚度单位  : kN/m</w:t>
      </w:r>
    </w:p>
    <w:p>
      <w:pPr>
        <w:spacing w:beforeLines="113" w:afterLines="113" w:line="113" w:lineRule="auto"/>
        <w:jc w:val="left"/>
      </w:pPr>
      <w:r>
        <w:rPr>
          <w:rFonts w:hint="eastAsia" w:ascii="宋体" w:eastAsia="宋体"/>
          <w:b w:val="0"/>
          <w:color w:val="000000"/>
          <w:sz w:val="24"/>
          <w:szCs w:val="24"/>
          <w:shd w:val="clear" w:color="auto" w:fill="FFFFFF"/>
        </w:rPr>
        <w:t>层高单位  : m</w:t>
      </w:r>
    </w:p>
    <w:p>
      <w:pPr>
        <w:spacing w:beforeLines="113" w:afterLines="113" w:line="113" w:lineRule="auto"/>
        <w:jc w:val="left"/>
      </w:pPr>
      <w:r>
        <w:rPr>
          <w:rFonts w:hint="eastAsia" w:ascii="宋体" w:eastAsia="宋体"/>
          <w:b w:val="0"/>
          <w:color w:val="000000"/>
          <w:sz w:val="24"/>
          <w:szCs w:val="24"/>
          <w:shd w:val="clear" w:color="auto" w:fill="FFFFFF"/>
        </w:rPr>
        <w:t>上部重量单位 : kN</w:t>
      </w:r>
    </w:p>
    <w:p>
      <w:pPr>
        <w:spacing w:beforeLines="113" w:afterLines="113" w:line="113" w:lineRule="auto"/>
        <w:jc w:val="center"/>
      </w:pPr>
      <w:r>
        <w:rPr>
          <w:rFonts w:hint="eastAsia" w:ascii="黑体" w:eastAsia="黑体"/>
          <w:b/>
          <w:color w:val="000000"/>
          <w:sz w:val="26"/>
          <w:szCs w:val="26"/>
          <w:shd w:val="clear" w:color="auto" w:fill="FFFFFF"/>
        </w:rPr>
        <w:t>表13-3 二阶效应系数</w:t>
      </w:r>
    </w:p>
    <w:tbl>
      <w:tblPr>
        <w:tblStyle w:val="30"/>
        <w:tblW w:w="8164" w:type="dxa"/>
        <w:jc w:val="center"/>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1056"/>
        <w:gridCol w:w="1056"/>
        <w:gridCol w:w="985"/>
        <w:gridCol w:w="1176"/>
        <w:gridCol w:w="985"/>
        <w:gridCol w:w="986"/>
      </w:tblGrid>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0" w:type="dxa"/>
            <w:tcBorders>
              <w:top w:val="single" w:color="auto" w:sz="14" w:space="0"/>
              <w:left w:val="nil"/>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02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塔号</w:t>
            </w:r>
          </w:p>
        </w:tc>
        <w:tc>
          <w:tcPr>
            <w:tcW w:w="102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X向刚度</w:t>
            </w:r>
          </w:p>
        </w:tc>
        <w:tc>
          <w:tcPr>
            <w:tcW w:w="102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Y向刚度</w:t>
            </w:r>
          </w:p>
        </w:tc>
        <w:tc>
          <w:tcPr>
            <w:tcW w:w="102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层高</w:t>
            </w:r>
          </w:p>
        </w:tc>
        <w:tc>
          <w:tcPr>
            <w:tcW w:w="102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上部重量</w:t>
            </w:r>
          </w:p>
        </w:tc>
        <w:tc>
          <w:tcPr>
            <w:tcW w:w="102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θx</w:t>
            </w:r>
          </w:p>
        </w:tc>
        <w:tc>
          <w:tcPr>
            <w:tcW w:w="1020" w:type="dxa"/>
            <w:tcBorders>
              <w:top w:val="single" w:color="auto" w:sz="14" w:space="0"/>
              <w:left w:val="single" w:color="auto" w:sz="4" w:space="0"/>
              <w:bottom w:val="single" w:color="auto" w:sz="14" w:space="0"/>
              <w:right w:val="nil"/>
            </w:tcBorders>
            <w:shd w:val="clear" w:color="auto" w:fill="FFFFFF"/>
            <w:vAlign w:val="center"/>
          </w:tcPr>
          <w:p>
            <w:pPr>
              <w:jc w:val="center"/>
            </w:pPr>
            <w:r>
              <w:rPr>
                <w:rFonts w:hint="eastAsia" w:ascii="宋体" w:eastAsia="宋体"/>
                <w:b w:val="0"/>
                <w:color w:val="000000"/>
                <w:sz w:val="24"/>
                <w:szCs w:val="24"/>
                <w:shd w:val="clear" w:color="auto" w:fill="FFFFFF"/>
              </w:rPr>
              <w:t>θy</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restart"/>
            <w:shd w:val="clear" w:color="auto" w:fill="FFFFFF"/>
            <w:vAlign w:val="center"/>
          </w:tcPr>
          <w:p>
            <w:pPr>
              <w:jc w:val="center"/>
            </w:pPr>
            <w:r>
              <w:rPr>
                <w:rFonts w:hint="eastAsia" w:ascii="宋体" w:eastAsia="宋体"/>
                <w:b w:val="0"/>
                <w:color w:val="000000"/>
                <w:sz w:val="24"/>
                <w:szCs w:val="24"/>
                <w:shd w:val="clear" w:color="auto" w:fill="FFFFFF"/>
              </w:rPr>
              <w:t>6</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1.38e+5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1.27e+5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5.40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 xml:space="preserve"> 6734.30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2.06e+5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1.79e+5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5.40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15479.79</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6</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2.24e+5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1.95e+5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5.40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13839.74</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restart"/>
            <w:shd w:val="clear" w:color="auto" w:fill="FFFFFF"/>
            <w:vAlign w:val="center"/>
          </w:tcPr>
          <w:p>
            <w:pPr>
              <w:jc w:val="center"/>
            </w:pPr>
            <w:r>
              <w:rPr>
                <w:rFonts w:hint="eastAsia" w:ascii="宋体" w:eastAsia="宋体"/>
                <w:b w:val="0"/>
                <w:color w:val="000000"/>
                <w:sz w:val="24"/>
                <w:szCs w:val="24"/>
                <w:shd w:val="clear" w:color="auto" w:fill="FFFFFF"/>
              </w:rPr>
              <w:t>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3.59e+5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3.12e+5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18590.24</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6.00e+5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4.75e+5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39369.41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5.86e+5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4.60e+5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33382.45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restart"/>
            <w:shd w:val="clear" w:color="auto" w:fill="FFFFFF"/>
            <w:vAlign w:val="center"/>
          </w:tcPr>
          <w:p>
            <w:pPr>
              <w:jc w:val="center"/>
            </w:pPr>
            <w:r>
              <w:rPr>
                <w:rFonts w:hint="eastAsia" w:ascii="宋体" w:eastAsia="宋体"/>
                <w:b w:val="0"/>
                <w:color w:val="000000"/>
                <w:sz w:val="24"/>
                <w:szCs w:val="24"/>
                <w:shd w:val="clear" w:color="auto" w:fill="FFFFFF"/>
              </w:rPr>
              <w:t>4</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3.95e+5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3.43e+5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29134.35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6.21e+5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5.28e+5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59476.48</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4</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6.34e+5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5.40e+5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50313.04</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restart"/>
            <w:shd w:val="clear" w:color="auto" w:fill="FFFFFF"/>
            <w:vAlign w:val="center"/>
          </w:tcPr>
          <w:p>
            <w:pPr>
              <w:jc w:val="center"/>
            </w:pPr>
            <w:r>
              <w:rPr>
                <w:rFonts w:hint="eastAsia" w:ascii="宋体" w:eastAsia="宋体"/>
                <w:b w:val="0"/>
                <w:color w:val="000000"/>
                <w:sz w:val="24"/>
                <w:szCs w:val="24"/>
                <w:shd w:val="clear" w:color="auto" w:fill="FFFFFF"/>
              </w:rPr>
              <w:t>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4.09e+5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3.90e+5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39699.69</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6.32e+5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6.00e+5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79528.51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6.88e+5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6.30e+5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3.90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67254.00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restart"/>
            <w:shd w:val="clear" w:color="auto" w:fill="FFFFFF"/>
            <w:vAlign w:val="center"/>
          </w:tcPr>
          <w:p>
            <w:pPr>
              <w:jc w:val="center"/>
            </w:pPr>
            <w:r>
              <w:rPr>
                <w:rFonts w:hint="eastAsia" w:ascii="宋体" w:eastAsia="宋体"/>
                <w:b w:val="0"/>
                <w:color w:val="000000"/>
                <w:sz w:val="24"/>
                <w:szCs w:val="24"/>
                <w:shd w:val="clear" w:color="auto" w:fill="FFFFFF"/>
              </w:rPr>
              <w:t>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4.43e+5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4.24e+5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4.20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50005.27</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5.87e+5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6.26e+5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4.20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1.01e+5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0.04</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0.04</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8.19e+5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7.22e+5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4.20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85493.23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0.03</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restart"/>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3.69e+6</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2.42e+6</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4.50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59505.03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0.01</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8.50e+5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1.35e+6</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4.50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1.12e+5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0.02</w:t>
            </w:r>
          </w:p>
        </w:tc>
      </w:tr>
      <w:tr>
        <w:tblPrEx>
          <w:tblBorders>
            <w:top w:val="single" w:color="auto" w:sz="14" w:space="0"/>
            <w:left w:val="none" w:color="auto" w:sz="0" w:space="0"/>
            <w:bottom w:val="single" w:color="auto" w:sz="1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1.06e+7</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4.96e+6</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4.50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1.05e+5</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Pr>
          <w:rFonts w:hint="eastAsia" w:ascii="宋体" w:eastAsia="宋体"/>
          <w:b w:val="0"/>
          <w:color w:val="000000"/>
          <w:sz w:val="24"/>
          <w:szCs w:val="24"/>
          <w:shd w:val="clear" w:color="auto" w:fill="FFFFFF"/>
        </w:rPr>
        <w:t>图13-1 多方向二阶效应系数简图(塔1)</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hint="eastAsia" w:ascii="宋体" w:eastAsia="宋体"/>
          <w:b w:val="0"/>
          <w:color w:val="000000"/>
          <w:sz w:val="24"/>
          <w:szCs w:val="24"/>
          <w:shd w:val="clear" w:color="auto" w:fill="FFFFFF"/>
        </w:rPr>
        <w:t>图13-2 多方向二阶效应系数简图(塔2)</w:t>
      </w:r>
    </w:p>
    <w:p>
      <w:pPr>
        <w:spacing w:beforeLines="113" w:afterLines="113" w:line="113" w:lineRule="auto"/>
        <w:jc w:val="center"/>
      </w:pPr>
    </w:p>
    <w:p>
      <w:pPr>
        <w:spacing w:beforeLines="1701" w:afterLines="567" w:line="170" w:lineRule="auto"/>
        <w:ind w:leftChars="200" w:rightChars="400" w:firstLineChars="200"/>
        <w:jc w:val="center"/>
      </w:pPr>
      <w:r>
        <w:drawing>
          <wp:inline distT="0" distB="0" distL="0" distR="0">
            <wp:extent cx="5399405" cy="5399405"/>
            <wp:effectExtent l="9525" t="9525" r="20320" b="2032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Pr>
          <w:rFonts w:hint="eastAsia" w:ascii="宋体" w:eastAsia="宋体"/>
          <w:b w:val="0"/>
          <w:color w:val="000000"/>
          <w:sz w:val="24"/>
          <w:szCs w:val="24"/>
          <w:shd w:val="clear" w:color="auto" w:fill="FFFFFF"/>
        </w:rPr>
        <w:t>图13-3 多方向二阶效应系数简图(塔3)</w:t>
      </w:r>
    </w:p>
    <w:p>
      <w:pPr>
        <w:spacing w:beforeLines="113" w:afterLines="113" w:line="113" w:lineRule="auto"/>
        <w:jc w:val="center"/>
      </w:pPr>
    </w:p>
    <w:sectPr>
      <w:headerReference r:id="rId5" w:type="default"/>
      <w:footerReference r:id="rId6" w:type="default"/>
      <w:pgSz w:w="11906" w:h="16838"/>
      <w:pgMar w:top="1814" w:right="1417" w:bottom="1814" w:left="1417" w:header="851" w:footer="992" w:gutter="0"/>
      <w:cols w:space="1134" w:num="1"/>
      <w:docGrid w:type="lines" w:linePitch="1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Cs w:val="21"/>
      </w:rPr>
    </w:pPr>
    <w:r>
      <w:rPr>
        <w:rFonts w:hint="eastAsia" w:ascii="宋体" w:hAnsi="宋体"/>
        <w:szCs w:val="21"/>
      </w:rPr>
      <w:t xml:space="preserve">第 </w:t>
    </w:r>
    <w:r>
      <w:rPr>
        <w:rStyle w:val="20"/>
        <w:rFonts w:ascii="宋体" w:hAnsi="宋体"/>
        <w:szCs w:val="21"/>
      </w:rPr>
      <w:fldChar w:fldCharType="begin"/>
    </w:r>
    <w:r>
      <w:rPr>
        <w:rStyle w:val="20"/>
        <w:rFonts w:ascii="宋体" w:hAnsi="宋体"/>
        <w:szCs w:val="21"/>
      </w:rPr>
      <w:instrText xml:space="preserve"> PAGE </w:instrText>
    </w:r>
    <w:r>
      <w:rPr>
        <w:rStyle w:val="20"/>
        <w:rFonts w:ascii="宋体" w:hAnsi="宋体"/>
        <w:szCs w:val="21"/>
      </w:rPr>
      <w:fldChar w:fldCharType="separate"/>
    </w:r>
    <w:r>
      <w:rPr>
        <w:rStyle w:val="20"/>
        <w:rFonts w:ascii="宋体" w:hAnsi="宋体"/>
        <w:szCs w:val="21"/>
      </w:rPr>
      <w:t>2</w:t>
    </w:r>
    <w:r>
      <w:rPr>
        <w:rStyle w:val="20"/>
        <w:rFonts w:ascii="宋体" w:hAnsi="宋体"/>
        <w:szCs w:val="21"/>
      </w:rPr>
      <w:fldChar w:fldCharType="end"/>
    </w:r>
    <w:r>
      <w:rPr>
        <w:rStyle w:val="20"/>
        <w:rFonts w:hint="eastAsia" w:ascii="宋体" w:hAnsi="宋体"/>
        <w:szCs w:val="21"/>
      </w:rPr>
      <w:t xml:space="preserve"> / </w:t>
    </w:r>
    <w:r>
      <w:rPr>
        <w:rStyle w:val="20"/>
        <w:rFonts w:ascii="宋体" w:hAnsi="宋体"/>
        <w:szCs w:val="21"/>
      </w:rPr>
      <w:fldChar w:fldCharType="begin"/>
    </w:r>
    <w:r>
      <w:rPr>
        <w:rStyle w:val="20"/>
        <w:rFonts w:ascii="宋体" w:hAnsi="宋体"/>
        <w:szCs w:val="21"/>
      </w:rPr>
      <w:instrText xml:space="preserve"> NUMPAGES </w:instrText>
    </w:r>
    <w:r>
      <w:rPr>
        <w:rStyle w:val="20"/>
        <w:rFonts w:ascii="宋体" w:hAnsi="宋体"/>
        <w:szCs w:val="21"/>
      </w:rPr>
      <w:fldChar w:fldCharType="separate"/>
    </w:r>
    <w:r>
      <w:rPr>
        <w:rStyle w:val="20"/>
        <w:rFonts w:ascii="宋体" w:hAnsi="宋体"/>
        <w:szCs w:val="21"/>
      </w:rPr>
      <w:t>17</w:t>
    </w:r>
    <w:r>
      <w:rPr>
        <w:rStyle w:val="20"/>
        <w:rFonts w:ascii="宋体" w:hAnsi="宋体"/>
        <w:szCs w:val="21"/>
      </w:rPr>
      <w:fldChar w:fldCharType="end"/>
    </w:r>
    <w:r>
      <w:rPr>
        <w:rStyle w:val="20"/>
        <w:rFonts w:hint="eastAsia" w:ascii="宋体" w:hAnsi="宋体"/>
        <w:szCs w:val="21"/>
      </w:rPr>
      <w:t xml:space="preserve">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683747"/>
      <w:docPartObj>
        <w:docPartGallery w:val="autotext"/>
      </w:docPartObj>
    </w:sdtPr>
    <w:sdtContent>
      <w:p>
        <w:pPr>
          <w:pStyle w:val="10"/>
          <w:jc w:val="center"/>
        </w:pPr>
        <w:r>
          <w:t xml:space="preserve">- </w:t>
        </w:r>
        <w:r>
          <w:fldChar w:fldCharType="begin"/>
        </w:r>
        <w:r>
          <w:instrText xml:space="preserve">PAGE   \* MERGEFORMAT</w:instrText>
        </w:r>
        <w:r>
          <w:fldChar w:fldCharType="separate"/>
        </w:r>
        <w:r>
          <w:fldChar w:fldCharType="end"/>
        </w: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t>CABR-PKPM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9E13D32"/>
    <w:rsid w:val="1C5F4017"/>
    <w:rsid w:val="1C943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2"/>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3"/>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unhideWhenUsed/>
    <w:qFormat/>
    <w:uiPriority w:val="39"/>
    <w:pPr>
      <w:ind w:left="840" w:leftChars="400"/>
    </w:pPr>
  </w:style>
  <w:style w:type="paragraph" w:styleId="9">
    <w:name w:val="Balloon Text"/>
    <w:basedOn w:val="1"/>
    <w:link w:val="45"/>
    <w:semiHidden/>
    <w:unhideWhenUsed/>
    <w:qFormat/>
    <w:uiPriority w:val="99"/>
    <w:rPr>
      <w:sz w:val="18"/>
      <w:szCs w:val="18"/>
    </w:rPr>
  </w:style>
  <w:style w:type="paragraph" w:styleId="10">
    <w:name w:val="footer"/>
    <w:basedOn w:val="1"/>
    <w:link w:val="44"/>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style>
  <w:style w:type="paragraph" w:styleId="14">
    <w:name w:val="Subtitle"/>
    <w:basedOn w:val="1"/>
    <w:next w:val="1"/>
    <w:link w:val="48"/>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unhideWhenUsed/>
    <w:qFormat/>
    <w:uiPriority w:val="39"/>
    <w:pPr>
      <w:ind w:left="420" w:leftChars="200"/>
    </w:pPr>
  </w:style>
  <w:style w:type="paragraph" w:styleId="16">
    <w:name w:val="Title"/>
    <w:basedOn w:val="1"/>
    <w:next w:val="1"/>
    <w:link w:val="46"/>
    <w:qFormat/>
    <w:uiPriority w:val="10"/>
    <w:pPr>
      <w:spacing w:before="240" w:after="60"/>
      <w:jc w:val="center"/>
      <w:outlineLvl w:val="0"/>
    </w:pPr>
    <w:rPr>
      <w:rFonts w:eastAsia="宋体" w:asciiTheme="majorHAnsi" w:hAnsiTheme="majorHAnsi" w:cstheme="majorBidi"/>
      <w:b/>
      <w:bCs/>
      <w:sz w:val="32"/>
      <w:szCs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customStyle="1" w:styleId="21">
    <w:name w:val="页眉 Char"/>
    <w:basedOn w:val="19"/>
    <w:link w:val="11"/>
    <w:qFormat/>
    <w:uiPriority w:val="99"/>
    <w:rPr>
      <w:sz w:val="18"/>
      <w:szCs w:val="18"/>
    </w:rPr>
  </w:style>
  <w:style w:type="table" w:customStyle="1" w:styleId="22">
    <w:name w:val="三线式表格(三条线都为细线)"/>
    <w:basedOn w:val="17"/>
    <w:qFormat/>
    <w:uiPriority w:val="99"/>
    <w:tblPr>
      <w:tblBorders>
        <w:bottom w:val="single" w:color="auto" w:sz="4" w:space="0"/>
      </w:tblBorders>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cBorders>
      </w:tcPr>
    </w:tblStylePr>
  </w:style>
  <w:style w:type="table" w:customStyle="1" w:styleId="23">
    <w:name w:val="三线式表格(三条线都为细线)_表头为0"/>
    <w:basedOn w:val="17"/>
    <w:qFormat/>
    <w:uiPriority w:val="99"/>
    <w:tblPr>
      <w:tblBorders>
        <w:bottom w:val="single" w:color="auto" w:sz="4" w:space="0"/>
      </w:tblBorders>
      <w:tblCellMar>
        <w:top w:w="0" w:type="dxa"/>
        <w:left w:w="108" w:type="dxa"/>
        <w:bottom w:w="0" w:type="dxa"/>
        <w:right w:w="108" w:type="dxa"/>
      </w:tblCellMar>
    </w:tblPr>
    <w:tblStylePr w:type="firstRow">
      <w:tcPr>
        <w:tcBorders>
          <w:top w:val="single" w:color="auto" w:sz="4" w:space="0"/>
        </w:tcBorders>
      </w:tcPr>
    </w:tblStylePr>
  </w:style>
  <w:style w:type="table" w:customStyle="1" w:styleId="24">
    <w:name w:val="三线式表格(三条线都为细线)_表头为2"/>
    <w:basedOn w:val="17"/>
    <w:qFormat/>
    <w:uiPriority w:val="99"/>
    <w:tblPr>
      <w:tblBorders>
        <w:bottom w:val="single" w:color="auto" w:sz="4" w:space="0"/>
      </w:tblBorders>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5">
    <w:name w:val="三线式表格(三条线都为细线)_表头为3"/>
    <w:basedOn w:val="17"/>
    <w:qFormat/>
    <w:uiPriority w:val="99"/>
    <w:tblPr>
      <w:tblBorders>
        <w:bottom w:val="single" w:color="auto" w:sz="4" w:space="0"/>
      </w:tblBorders>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6">
    <w:name w:val="三线式表格(顶底线粗，中线细)"/>
    <w:basedOn w:val="17"/>
    <w:qFormat/>
    <w:uiPriority w:val="99"/>
    <w:tblPr>
      <w:tblBorders>
        <w:bottom w:val="single" w:color="auto" w:sz="14" w:space="0"/>
      </w:tblBorders>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7">
    <w:name w:val="三线式表格(顶底线粗，中线细)_表头为0"/>
    <w:basedOn w:val="17"/>
    <w:qFormat/>
    <w:uiPriority w:val="99"/>
    <w:tblPr>
      <w:tblBorders>
        <w:bottom w:val="single" w:color="auto" w:sz="14" w:space="0"/>
      </w:tblBorders>
      <w:tblCellMar>
        <w:top w:w="0" w:type="dxa"/>
        <w:left w:w="108" w:type="dxa"/>
        <w:bottom w:w="0" w:type="dxa"/>
        <w:right w:w="108" w:type="dxa"/>
      </w:tblCellMar>
    </w:tblPr>
    <w:tblStylePr w:type="firstRow">
      <w:tcPr>
        <w:tcBorders>
          <w:top w:val="single" w:color="auto" w:sz="14" w:space="0"/>
        </w:tcBorders>
      </w:tcPr>
    </w:tblStylePr>
  </w:style>
  <w:style w:type="table" w:customStyle="1" w:styleId="28">
    <w:name w:val="三线式表格(顶底线粗，中线细)_表头为2"/>
    <w:basedOn w:val="17"/>
    <w:qFormat/>
    <w:uiPriority w:val="99"/>
    <w:tblPr>
      <w:tblBorders>
        <w:bottom w:val="single" w:color="auto" w:sz="14" w:space="0"/>
      </w:tblBorders>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9">
    <w:name w:val="三线式表格(顶底线粗，中线细)_表头为3"/>
    <w:basedOn w:val="17"/>
    <w:qFormat/>
    <w:uiPriority w:val="99"/>
    <w:tblPr>
      <w:tblBorders>
        <w:bottom w:val="single" w:color="auto" w:sz="14" w:space="0"/>
      </w:tblBorders>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30">
    <w:name w:val="表头及底线粗，内线细，无两侧边框"/>
    <w:basedOn w:val="17"/>
    <w:qFormat/>
    <w:uiPriority w:val="99"/>
    <w:tblPr>
      <w:tblBorders>
        <w:top w:val="single" w:color="auto" w:sz="14" w:space="0"/>
        <w:bottom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1">
    <w:name w:val="表头及底线粗，内线细，无两侧边框_表头为0"/>
    <w:basedOn w:val="17"/>
    <w:qFormat/>
    <w:uiPriority w:val="99"/>
    <w:tblPr>
      <w:tblBorders>
        <w:top w:val="single" w:color="auto" w:sz="14" w:space="0"/>
        <w:bottom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tcBorders>
      </w:tcPr>
    </w:tblStylePr>
  </w:style>
  <w:style w:type="table" w:customStyle="1" w:styleId="32">
    <w:name w:val="表头及底线粗，内线细，无两侧边框_表头为2"/>
    <w:basedOn w:val="17"/>
    <w:qFormat/>
    <w:uiPriority w:val="99"/>
    <w:tblPr>
      <w:tblBorders>
        <w:top w:val="single" w:color="auto" w:sz="14" w:space="0"/>
        <w:bottom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3">
    <w:name w:val="表头及底线粗，内线细，无两侧边框_表头为3"/>
    <w:basedOn w:val="17"/>
    <w:qFormat/>
    <w:uiPriority w:val="99"/>
    <w:tblPr>
      <w:tblBorders>
        <w:top w:val="single" w:color="auto" w:sz="14" w:space="0"/>
        <w:bottom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4">
    <w:name w:val="表头及边框粗，内线细"/>
    <w:basedOn w:val="17"/>
    <w:qFormat/>
    <w:uiPriority w:val="99"/>
    <w:tblP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6" w:space="0"/>
          <w:insideV w:val="single" w:sz="6" w:space="0"/>
          <w:tl2br w:val="nil"/>
          <w:tr2bl w:val="nil"/>
        </w:tcBorders>
      </w:tcPr>
    </w:tblStylePr>
  </w:style>
  <w:style w:type="table" w:customStyle="1" w:styleId="35">
    <w:name w:val="表头及边框粗，内线细_表头为0"/>
    <w:basedOn w:val="17"/>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tcBorders>
      </w:tcPr>
    </w:tblStylePr>
  </w:style>
  <w:style w:type="table" w:customStyle="1" w:styleId="36">
    <w:name w:val="表头及边框粗，内线细_表头为2"/>
    <w:basedOn w:val="17"/>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7">
    <w:name w:val="表头及边框粗，内线细_表头为3"/>
    <w:basedOn w:val="17"/>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8">
    <w:name w:val="双外轮廓线式，外粗，内细 (表格内部线细)"/>
    <w:basedOn w:val="17"/>
    <w:qFormat/>
    <w:uiPriority w:val="99"/>
    <w:tblP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39">
    <w:name w:val="双外轮廓线式，外细，内粗 (表格内部线细)"/>
    <w:basedOn w:val="17"/>
    <w:qFormat/>
    <w:uiPriority w:val="99"/>
    <w:tblPr>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40">
    <w:name w:val="双外轮廓线式，外细，内细 (表格内部线细)"/>
    <w:basedOn w:val="17"/>
    <w:qFormat/>
    <w:uiPriority w:val="99"/>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style>
  <w:style w:type="table" w:customStyle="1" w:styleId="41">
    <w:name w:val="三外轮廓线式，外细，中粗，内细 (表格内部线细)"/>
    <w:basedOn w:val="17"/>
    <w:qFormat/>
    <w:uiPriority w:val="99"/>
    <w:tblPr>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CellMar>
        <w:top w:w="0" w:type="dxa"/>
        <w:left w:w="108" w:type="dxa"/>
        <w:bottom w:w="0" w:type="dxa"/>
        <w:right w:w="108" w:type="dxa"/>
      </w:tblCellMar>
    </w:tblPr>
  </w:style>
  <w:style w:type="table" w:customStyle="1" w:styleId="42">
    <w:name w:val="三维式外轮廓线(表格内部线细)"/>
    <w:basedOn w:val="17"/>
    <w:qFormat/>
    <w:uiPriority w:val="99"/>
    <w:tblPr>
      <w:tblBorders>
        <w:top w:val="threeDEmboss" w:color="auto" w:sz="24" w:space="0"/>
        <w:left w:val="threeDEmboss" w:color="auto" w:sz="24" w:space="0"/>
        <w:bottom w:val="threeDEngrave" w:color="auto" w:sz="24" w:space="0"/>
        <w:right w:val="threeDEngrave" w:color="auto" w:sz="24" w:space="0"/>
        <w:insideH w:val="single" w:color="auto" w:sz="6" w:space="0"/>
        <w:insideV w:val="single" w:color="auto" w:sz="6" w:space="0"/>
      </w:tblBorders>
      <w:tblCellMar>
        <w:top w:w="0" w:type="dxa"/>
        <w:left w:w="108" w:type="dxa"/>
        <w:bottom w:w="0" w:type="dxa"/>
        <w:right w:w="108" w:type="dxa"/>
      </w:tblCellMar>
    </w:tblPr>
  </w:style>
  <w:style w:type="table" w:customStyle="1" w:styleId="43">
    <w:name w:val="无线条"/>
    <w:basedOn w:val="17"/>
    <w:qFormat/>
    <w:uiPriority w:val="99"/>
    <w:tblPr>
      <w:tblCellMar>
        <w:top w:w="0" w:type="dxa"/>
        <w:left w:w="108" w:type="dxa"/>
        <w:bottom w:w="0" w:type="dxa"/>
        <w:right w:w="108" w:type="dxa"/>
      </w:tblCellMar>
    </w:tblPr>
  </w:style>
  <w:style w:type="character" w:customStyle="1" w:styleId="44">
    <w:name w:val="页脚 Char"/>
    <w:basedOn w:val="19"/>
    <w:link w:val="10"/>
    <w:qFormat/>
    <w:uiPriority w:val="99"/>
    <w:rPr>
      <w:sz w:val="18"/>
      <w:szCs w:val="18"/>
    </w:rPr>
  </w:style>
  <w:style w:type="character" w:customStyle="1" w:styleId="45">
    <w:name w:val="批注框文本 Char"/>
    <w:basedOn w:val="19"/>
    <w:link w:val="9"/>
    <w:semiHidden/>
    <w:qFormat/>
    <w:uiPriority w:val="99"/>
    <w:rPr>
      <w:sz w:val="18"/>
      <w:szCs w:val="18"/>
    </w:rPr>
  </w:style>
  <w:style w:type="character" w:customStyle="1" w:styleId="46">
    <w:name w:val="标题 Char"/>
    <w:basedOn w:val="19"/>
    <w:link w:val="16"/>
    <w:qFormat/>
    <w:uiPriority w:val="10"/>
    <w:rPr>
      <w:rFonts w:eastAsia="宋体" w:asciiTheme="majorHAnsi" w:hAnsiTheme="majorHAnsi" w:cstheme="majorBidi"/>
      <w:b/>
      <w:bCs/>
      <w:sz w:val="32"/>
      <w:szCs w:val="32"/>
    </w:rPr>
  </w:style>
  <w:style w:type="character" w:customStyle="1" w:styleId="47">
    <w:name w:val="标题 1 Char"/>
    <w:basedOn w:val="19"/>
    <w:link w:val="2"/>
    <w:qFormat/>
    <w:uiPriority w:val="9"/>
    <w:rPr>
      <w:b/>
      <w:bCs/>
      <w:kern w:val="44"/>
      <w:sz w:val="44"/>
      <w:szCs w:val="44"/>
    </w:rPr>
  </w:style>
  <w:style w:type="character" w:customStyle="1" w:styleId="48">
    <w:name w:val="副标题 Char"/>
    <w:basedOn w:val="19"/>
    <w:link w:val="14"/>
    <w:qFormat/>
    <w:uiPriority w:val="11"/>
    <w:rPr>
      <w:rFonts w:eastAsia="宋体" w:asciiTheme="majorHAnsi" w:hAnsiTheme="majorHAnsi" w:cstheme="majorBidi"/>
      <w:b/>
      <w:bCs/>
      <w:kern w:val="28"/>
      <w:sz w:val="32"/>
      <w:szCs w:val="32"/>
    </w:rPr>
  </w:style>
  <w:style w:type="character" w:customStyle="1" w:styleId="49">
    <w:name w:val="标题 2 Char"/>
    <w:basedOn w:val="19"/>
    <w:link w:val="3"/>
    <w:qFormat/>
    <w:uiPriority w:val="9"/>
    <w:rPr>
      <w:rFonts w:asciiTheme="majorHAnsi" w:hAnsiTheme="majorHAnsi" w:eastAsiaTheme="majorEastAsia" w:cstheme="majorBidi"/>
      <w:b/>
      <w:bCs/>
      <w:sz w:val="32"/>
      <w:szCs w:val="32"/>
    </w:rPr>
  </w:style>
  <w:style w:type="character" w:customStyle="1" w:styleId="50">
    <w:name w:val="标题 3 Char"/>
    <w:basedOn w:val="19"/>
    <w:link w:val="4"/>
    <w:qFormat/>
    <w:uiPriority w:val="9"/>
    <w:rPr>
      <w:b/>
      <w:bCs/>
      <w:sz w:val="32"/>
      <w:szCs w:val="32"/>
    </w:rPr>
  </w:style>
  <w:style w:type="character" w:customStyle="1" w:styleId="51">
    <w:name w:val="标题 4 Char"/>
    <w:basedOn w:val="19"/>
    <w:link w:val="5"/>
    <w:qFormat/>
    <w:uiPriority w:val="9"/>
    <w:rPr>
      <w:rFonts w:asciiTheme="majorHAnsi" w:hAnsiTheme="majorHAnsi" w:eastAsiaTheme="majorEastAsia" w:cstheme="majorBidi"/>
      <w:b/>
      <w:bCs/>
      <w:sz w:val="28"/>
      <w:szCs w:val="28"/>
    </w:rPr>
  </w:style>
  <w:style w:type="character" w:customStyle="1" w:styleId="52">
    <w:name w:val="标题 5 Char"/>
    <w:basedOn w:val="19"/>
    <w:link w:val="6"/>
    <w:qFormat/>
    <w:uiPriority w:val="9"/>
    <w:rPr>
      <w:b/>
      <w:bCs/>
      <w:sz w:val="28"/>
      <w:szCs w:val="28"/>
    </w:rPr>
  </w:style>
  <w:style w:type="character" w:customStyle="1" w:styleId="53">
    <w:name w:val="标题 6 Char"/>
    <w:basedOn w:val="19"/>
    <w:link w:val="7"/>
    <w:qFormat/>
    <w:uiPriority w:val="9"/>
    <w:rPr>
      <w:rFonts w:asciiTheme="majorHAnsi" w:hAnsiTheme="majorHAnsi" w:eastAsiaTheme="majorEastAsia" w:cstheme="majorBidi"/>
      <w:b/>
      <w:bCs/>
      <w:sz w:val="24"/>
      <w:szCs w:val="24"/>
    </w:rPr>
  </w:style>
  <w:style w:type="paragraph" w:customStyle="1" w:styleId="5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55">
    <w:name w:val="封面1，初黑"/>
    <w:qFormat/>
    <w:uiPriority w:val="0"/>
    <w:pPr>
      <w:keepNext/>
      <w:widowControl w:val="0"/>
      <w:snapToGrid w:val="0"/>
      <w:jc w:val="distribute"/>
    </w:pPr>
    <w:rPr>
      <w:rFonts w:ascii="Times New Roman" w:hAnsi="Times New Roman" w:eastAsia="黑体" w:cs="Times New Roman"/>
      <w:kern w:val="0"/>
      <w:sz w:val="84"/>
      <w:szCs w:val="20"/>
      <w:lang w:val="en-US" w:eastAsia="zh-CN" w:bidi="ar-SA"/>
    </w:rPr>
  </w:style>
  <w:style w:type="paragraph" w:customStyle="1" w:styleId="56">
    <w:name w:val="封面4，小二中"/>
    <w:qFormat/>
    <w:uiPriority w:val="0"/>
    <w:pPr>
      <w:keepNext/>
      <w:widowControl w:val="0"/>
      <w:snapToGrid w:val="0"/>
      <w:spacing w:before="25" w:beforeLines="25" w:after="25" w:afterLines="25"/>
      <w:jc w:val="center"/>
    </w:pPr>
    <w:rPr>
      <w:rFonts w:ascii="Times New Roman" w:hAnsi="Times New Roman" w:eastAsia="宋体" w:cs="Times New Roman"/>
      <w:kern w:val="2"/>
      <w:sz w:val="36"/>
      <w:szCs w:val="20"/>
      <w:lang w:val="en-US" w:eastAsia="zh-CN" w:bidi="ar-SA"/>
    </w:rPr>
  </w:style>
  <w:style w:type="paragraph" w:customStyle="1" w:styleId="57">
    <w:name w:val="封面2，二宋"/>
    <w:qFormat/>
    <w:uiPriority w:val="0"/>
    <w:pPr>
      <w:keepNext/>
      <w:widowControl w:val="0"/>
      <w:snapToGrid w:val="0"/>
      <w:jc w:val="distribute"/>
    </w:pPr>
    <w:rPr>
      <w:rFonts w:ascii="Times New Roman" w:hAnsi="Times New Roman" w:eastAsia="宋体" w:cs="Times New Roman"/>
      <w:kern w:val="0"/>
      <w:sz w:val="44"/>
      <w:szCs w:val="20"/>
      <w:lang w:val="en-US" w:eastAsia="zh-CN" w:bidi="ar-SA"/>
    </w:rPr>
  </w:style>
  <w:style w:type="paragraph" w:customStyle="1" w:styleId="58">
    <w:name w:val="封面3，小二"/>
    <w:qFormat/>
    <w:uiPriority w:val="0"/>
    <w:pPr>
      <w:keepNext/>
      <w:widowControl w:val="0"/>
      <w:snapToGrid w:val="0"/>
      <w:jc w:val="distribute"/>
    </w:pPr>
    <w:rPr>
      <w:rFonts w:ascii="Times New Roman" w:hAnsi="Times New Roman" w:eastAsia="宋体" w:cs="Times New Roman"/>
      <w:kern w:val="0"/>
      <w:sz w:val="36"/>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chart" Target="charts/chart44.xml"/><Relationship Id="rId50" Type="http://schemas.openxmlformats.org/officeDocument/2006/relationships/chart" Target="charts/chart43.xml"/><Relationship Id="rId5" Type="http://schemas.openxmlformats.org/officeDocument/2006/relationships/header" Target="header2.xml"/><Relationship Id="rId49" Type="http://schemas.openxmlformats.org/officeDocument/2006/relationships/chart" Target="charts/chart42.xml"/><Relationship Id="rId48" Type="http://schemas.openxmlformats.org/officeDocument/2006/relationships/chart" Target="charts/chart41.xml"/><Relationship Id="rId47" Type="http://schemas.openxmlformats.org/officeDocument/2006/relationships/chart" Target="charts/chart40.xml"/><Relationship Id="rId46" Type="http://schemas.openxmlformats.org/officeDocument/2006/relationships/chart" Target="charts/chart39.xml"/><Relationship Id="rId45" Type="http://schemas.openxmlformats.org/officeDocument/2006/relationships/chart" Target="charts/chart38.xml"/><Relationship Id="rId44" Type="http://schemas.openxmlformats.org/officeDocument/2006/relationships/chart" Target="charts/chart37.xml"/><Relationship Id="rId43" Type="http://schemas.openxmlformats.org/officeDocument/2006/relationships/chart" Target="charts/chart36.xml"/><Relationship Id="rId42" Type="http://schemas.openxmlformats.org/officeDocument/2006/relationships/chart" Target="charts/chart35.xml"/><Relationship Id="rId41" Type="http://schemas.openxmlformats.org/officeDocument/2006/relationships/chart" Target="charts/chart34.xml"/><Relationship Id="rId40" Type="http://schemas.openxmlformats.org/officeDocument/2006/relationships/chart" Target="charts/chart33.xml"/><Relationship Id="rId4" Type="http://schemas.openxmlformats.org/officeDocument/2006/relationships/footer" Target="footer1.xml"/><Relationship Id="rId39" Type="http://schemas.openxmlformats.org/officeDocument/2006/relationships/chart" Target="charts/chart32.xml"/><Relationship Id="rId38" Type="http://schemas.openxmlformats.org/officeDocument/2006/relationships/chart" Target="charts/chart31.xml"/><Relationship Id="rId37" Type="http://schemas.openxmlformats.org/officeDocument/2006/relationships/chart" Target="charts/chart30.xml"/><Relationship Id="rId36" Type="http://schemas.openxmlformats.org/officeDocument/2006/relationships/chart" Target="charts/chart29.xml"/><Relationship Id="rId35" Type="http://schemas.openxmlformats.org/officeDocument/2006/relationships/chart" Target="charts/chart28.xml"/><Relationship Id="rId34" Type="http://schemas.openxmlformats.org/officeDocument/2006/relationships/chart" Target="charts/chart27.xml"/><Relationship Id="rId33" Type="http://schemas.openxmlformats.org/officeDocument/2006/relationships/chart" Target="charts/chart26.xml"/><Relationship Id="rId32" Type="http://schemas.openxmlformats.org/officeDocument/2006/relationships/chart" Target="charts/chart25.xml"/><Relationship Id="rId31" Type="http://schemas.openxmlformats.org/officeDocument/2006/relationships/chart" Target="charts/chart24.xml"/><Relationship Id="rId30" Type="http://schemas.openxmlformats.org/officeDocument/2006/relationships/chart" Target="charts/chart23.xml"/><Relationship Id="rId3" Type="http://schemas.openxmlformats.org/officeDocument/2006/relationships/header" Target="header1.xml"/><Relationship Id="rId29" Type="http://schemas.openxmlformats.org/officeDocument/2006/relationships/chart" Target="charts/chart22.xml"/><Relationship Id="rId28" Type="http://schemas.openxmlformats.org/officeDocument/2006/relationships/chart" Target="charts/chart21.xml"/><Relationship Id="rId27" Type="http://schemas.openxmlformats.org/officeDocument/2006/relationships/chart" Target="charts/chart20.xml"/><Relationship Id="rId26" Type="http://schemas.openxmlformats.org/officeDocument/2006/relationships/chart" Target="charts/chart19.xml"/><Relationship Id="rId25" Type="http://schemas.openxmlformats.org/officeDocument/2006/relationships/chart" Target="charts/chart18.xml"/><Relationship Id="rId24" Type="http://schemas.openxmlformats.org/officeDocument/2006/relationships/chart" Target="charts/chart17.xml"/><Relationship Id="rId23" Type="http://schemas.openxmlformats.org/officeDocument/2006/relationships/chart" Target="charts/chart16.xml"/><Relationship Id="rId22" Type="http://schemas.openxmlformats.org/officeDocument/2006/relationships/chart" Target="charts/chart15.xml"/><Relationship Id="rId21" Type="http://schemas.openxmlformats.org/officeDocument/2006/relationships/chart" Target="charts/chart14.xml"/><Relationship Id="rId20" Type="http://schemas.openxmlformats.org/officeDocument/2006/relationships/chart" Target="charts/chart13.xml"/><Relationship Id="rId2" Type="http://schemas.openxmlformats.org/officeDocument/2006/relationships/settings" Target="settings.xml"/><Relationship Id="rId19" Type="http://schemas.openxmlformats.org/officeDocument/2006/relationships/chart" Target="charts/chart12.xml"/><Relationship Id="rId18" Type="http://schemas.openxmlformats.org/officeDocument/2006/relationships/chart" Target="charts/chart11.xml"/><Relationship Id="rId17" Type="http://schemas.openxmlformats.org/officeDocument/2006/relationships/chart" Target="charts/chart10.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2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28.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Workbook29.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Workbook2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Workbook23.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Workbook24.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Workbook31.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Workbook3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Workbook1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Workbook25.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Workbook2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0.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Workbook37.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Workbook35.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Workbook36.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Workbook39.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Workbook4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8.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Workbook38.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Workbook44.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Workbook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Workbook40.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Workbook4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3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C30</c:v>
                </c:pt>
              </c:strCache>
            </c:strRef>
          </c:tx>
          <c:invertIfNegative val="0"/>
          <c:dLbls>
            <c:delete val="1"/>
          </c:dLbls>
          <c:cat>
            <c:strRef>
              <c:f>Sheet1!$A$2:$A$4</c:f>
              <c:strCache>
                <c:ptCount val="3"/>
                <c:pt idx="0">
                  <c:v>梁</c:v>
                </c:pt>
                <c:pt idx="1">
                  <c:v>柱</c:v>
                </c:pt>
                <c:pt idx="2">
                  <c:v>墙</c:v>
                </c:pt>
              </c:strCache>
            </c:strRef>
          </c:cat>
          <c:val>
            <c:numRef>
              <c:f>Sheet1!$B$2:$B$4</c:f>
              <c:numCache>
                <c:formatCode>General</c:formatCode>
                <c:ptCount val="3"/>
                <c:pt idx="0">
                  <c:v>1789</c:v>
                </c:pt>
                <c:pt idx="1">
                  <c:v>0</c:v>
                </c:pt>
                <c:pt idx="2">
                  <c:v>0</c:v>
                </c:pt>
              </c:numCache>
            </c:numRef>
          </c:val>
        </c:ser>
        <c:ser>
          <c:idx val="1"/>
          <c:order val="1"/>
          <c:tx>
            <c:strRef>
              <c:f>Sheet1!$C$1</c:f>
              <c:strCache>
                <c:ptCount val="1"/>
                <c:pt idx="0">
                  <c:v>C40</c:v>
                </c:pt>
              </c:strCache>
            </c:strRef>
          </c:tx>
          <c:invertIfNegative val="0"/>
          <c:dLbls>
            <c:delete val="1"/>
          </c:dLbls>
          <c:cat>
            <c:strRef>
              <c:f>Sheet1!$A$2:$A$4</c:f>
              <c:strCache>
                <c:ptCount val="3"/>
                <c:pt idx="0">
                  <c:v>梁</c:v>
                </c:pt>
                <c:pt idx="1">
                  <c:v>柱</c:v>
                </c:pt>
                <c:pt idx="2">
                  <c:v>墙</c:v>
                </c:pt>
              </c:strCache>
            </c:strRef>
          </c:cat>
          <c:val>
            <c:numRef>
              <c:f>Sheet1!$C$2:$C$4</c:f>
              <c:numCache>
                <c:formatCode>General</c:formatCode>
                <c:ptCount val="3"/>
                <c:pt idx="0">
                  <c:v>0</c:v>
                </c:pt>
                <c:pt idx="1">
                  <c:v>468</c:v>
                </c:pt>
                <c:pt idx="2">
                  <c:v>30</c:v>
                </c:pt>
              </c:numCache>
            </c:numRef>
          </c:val>
        </c:ser>
        <c:dLbls>
          <c:showLegendKey val="0"/>
          <c:showVal val="0"/>
          <c:showCatName val="0"/>
          <c:showSerName val="0"/>
          <c:showPercent val="0"/>
          <c:showBubbleSize val="0"/>
        </c:dLbls>
        <c:gapWidth val="150"/>
        <c:axId val="1"/>
        <c:axId val="2"/>
      </c:barChart>
      <c:catAx>
        <c:axId val="1"/>
        <c:scaling>
          <c:orientation val="minMax"/>
        </c:scaling>
        <c:delete val="0"/>
        <c:axPos val="b"/>
        <c:majorGridlines/>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auto val="1"/>
        <c:lblAlgn val="ctr"/>
        <c:lblOffset val="100"/>
        <c:tickLblSkip val="1"/>
        <c:noMultiLvlLbl val="0"/>
      </c:catAx>
      <c:valAx>
        <c:axId val="2"/>
        <c:scaling>
          <c:orientation val="minMax"/>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单位:数量</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solidFill>
        <a:srgbClr val="FFFFFF"/>
      </a:solidFill>
      <a:prstDash val="solid"/>
      <a:round/>
    </a:ln>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X向风</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Sheet1!$B$2:$B$8</c:f>
              <c:numCache>
                <c:formatCode>General</c:formatCode>
                <c:ptCount val="7"/>
                <c:pt idx="0">
                  <c:v>0</c:v>
                </c:pt>
                <c:pt idx="1">
                  <c:v>3.012704</c:v>
                </c:pt>
                <c:pt idx="2">
                  <c:v>3.012704</c:v>
                </c:pt>
                <c:pt idx="3">
                  <c:v>2.469431</c:v>
                </c:pt>
                <c:pt idx="4">
                  <c:v>2.02833</c:v>
                </c:pt>
                <c:pt idx="5">
                  <c:v>1.525252</c:v>
                </c:pt>
                <c:pt idx="6">
                  <c:v>0.946482</c:v>
                </c:pt>
              </c:numCache>
            </c:numRef>
          </c:xVal>
          <c:yVal>
            <c:numRef>
              <c:f>Sheet1!$D$2:$D$8</c:f>
              <c:numCache>
                <c:formatCode>General</c:formatCode>
                <c:ptCount val="7"/>
                <c:pt idx="0">
                  <c:v>0</c:v>
                </c:pt>
                <c:pt idx="1">
                  <c:v>1</c:v>
                </c:pt>
                <c:pt idx="2">
                  <c:v>2</c:v>
                </c:pt>
                <c:pt idx="3">
                  <c:v>3</c:v>
                </c:pt>
                <c:pt idx="4">
                  <c:v>4</c:v>
                </c:pt>
                <c:pt idx="5">
                  <c:v>5</c:v>
                </c:pt>
                <c:pt idx="6">
                  <c:v>6</c:v>
                </c:pt>
              </c:numCache>
            </c:numRef>
          </c:yVal>
          <c:smooth val="0"/>
        </c:ser>
        <c:ser>
          <c:idx val="1"/>
          <c:order val="1"/>
          <c:tx>
            <c:strRef>
              <c:f>Sheet1!$E$1</c:f>
              <c:strCache>
                <c:ptCount val="1"/>
                <c:pt idx="0">
                  <c:v>Y向风</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Sheet1!$C$2:$C$8</c:f>
              <c:numCache>
                <c:formatCode>General</c:formatCode>
                <c:ptCount val="7"/>
                <c:pt idx="0">
                  <c:v>0</c:v>
                </c:pt>
                <c:pt idx="1">
                  <c:v>7.128517</c:v>
                </c:pt>
                <c:pt idx="2">
                  <c:v>7.128517</c:v>
                </c:pt>
                <c:pt idx="3">
                  <c:v>6.067671</c:v>
                </c:pt>
                <c:pt idx="4">
                  <c:v>4.977523</c:v>
                </c:pt>
                <c:pt idx="5">
                  <c:v>3.739097</c:v>
                </c:pt>
                <c:pt idx="6">
                  <c:v>2.318169</c:v>
                </c:pt>
              </c:numCache>
            </c:numRef>
          </c:xVal>
          <c:yVal>
            <c:numRef>
              <c:f>Sheet1!$E$2:$E$8</c:f>
              <c:numCache>
                <c:formatCode>General</c:formatCode>
                <c:ptCount val="7"/>
                <c:pt idx="0">
                  <c:v>0</c:v>
                </c:pt>
                <c:pt idx="1">
                  <c:v>1</c:v>
                </c:pt>
                <c:pt idx="2">
                  <c:v>2</c:v>
                </c:pt>
                <c:pt idx="3">
                  <c:v>3</c:v>
                </c:pt>
                <c:pt idx="4">
                  <c:v>4</c:v>
                </c:pt>
                <c:pt idx="5">
                  <c:v>5</c:v>
                </c:pt>
                <c:pt idx="6">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剪力(*100kN)</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X向风</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Sheet1!$B$2:$B$8</c:f>
              <c:numCache>
                <c:formatCode>General</c:formatCode>
                <c:ptCount val="7"/>
                <c:pt idx="0">
                  <c:v>0</c:v>
                </c:pt>
                <c:pt idx="1">
                  <c:v>5.3792</c:v>
                </c:pt>
                <c:pt idx="2">
                  <c:v>4.076204</c:v>
                </c:pt>
                <c:pt idx="3">
                  <c:v>2.860074</c:v>
                </c:pt>
                <c:pt idx="4">
                  <c:v>1.896996</c:v>
                </c:pt>
                <c:pt idx="5">
                  <c:v>1.105948</c:v>
                </c:pt>
                <c:pt idx="6">
                  <c:v>0.5111</c:v>
                </c:pt>
              </c:numCache>
            </c:numRef>
          </c:xVal>
          <c:yVal>
            <c:numRef>
              <c:f>Sheet1!$D$2:$D$8</c:f>
              <c:numCache>
                <c:formatCode>General</c:formatCode>
                <c:ptCount val="7"/>
                <c:pt idx="0">
                  <c:v>0</c:v>
                </c:pt>
                <c:pt idx="1">
                  <c:v>1</c:v>
                </c:pt>
                <c:pt idx="2">
                  <c:v>2</c:v>
                </c:pt>
                <c:pt idx="3">
                  <c:v>3</c:v>
                </c:pt>
                <c:pt idx="4">
                  <c:v>4</c:v>
                </c:pt>
                <c:pt idx="5">
                  <c:v>5</c:v>
                </c:pt>
                <c:pt idx="6">
                  <c:v>6</c:v>
                </c:pt>
              </c:numCache>
            </c:numRef>
          </c:yVal>
          <c:smooth val="0"/>
        </c:ser>
        <c:ser>
          <c:idx val="1"/>
          <c:order val="1"/>
          <c:tx>
            <c:strRef>
              <c:f>Sheet1!$E$1</c:f>
              <c:strCache>
                <c:ptCount val="1"/>
                <c:pt idx="0">
                  <c:v>Y向风</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Sheet1!$C$2:$C$8</c:f>
              <c:numCache>
                <c:formatCode>General</c:formatCode>
                <c:ptCount val="7"/>
                <c:pt idx="0">
                  <c:v>0</c:v>
                </c:pt>
                <c:pt idx="1">
                  <c:v>8.075051</c:v>
                </c:pt>
                <c:pt idx="2">
                  <c:v>6.118361</c:v>
                </c:pt>
                <c:pt idx="3">
                  <c:v>4.292117</c:v>
                </c:pt>
                <c:pt idx="4">
                  <c:v>2.846534</c:v>
                </c:pt>
                <c:pt idx="5">
                  <c:v>1.65942</c:v>
                </c:pt>
                <c:pt idx="6">
                  <c:v>0.766684</c:v>
                </c:pt>
              </c:numCache>
            </c:numRef>
          </c:xVal>
          <c:yVal>
            <c:numRef>
              <c:f>Sheet1!$E$2:$E$8</c:f>
              <c:numCache>
                <c:formatCode>General</c:formatCode>
                <c:ptCount val="7"/>
                <c:pt idx="0">
                  <c:v>0</c:v>
                </c:pt>
                <c:pt idx="1">
                  <c:v>1</c:v>
                </c:pt>
                <c:pt idx="2">
                  <c:v>2</c:v>
                </c:pt>
                <c:pt idx="3">
                  <c:v>3</c:v>
                </c:pt>
                <c:pt idx="4">
                  <c:v>4</c:v>
                </c:pt>
                <c:pt idx="5">
                  <c:v>5</c:v>
                </c:pt>
                <c:pt idx="6">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弯矩(*10^3kN.m)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X向风</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Sheet1!$B$2:$B$8</c:f>
              <c:numCache>
                <c:formatCode>General</c:formatCode>
                <c:ptCount val="7"/>
                <c:pt idx="0">
                  <c:v>0</c:v>
                </c:pt>
                <c:pt idx="1">
                  <c:v>5.481122</c:v>
                </c:pt>
                <c:pt idx="2">
                  <c:v>4.125406</c:v>
                </c:pt>
                <c:pt idx="3">
                  <c:v>2.860072</c:v>
                </c:pt>
                <c:pt idx="4">
                  <c:v>1.896994</c:v>
                </c:pt>
                <c:pt idx="5">
                  <c:v>1.105947</c:v>
                </c:pt>
                <c:pt idx="6">
                  <c:v>0.511099</c:v>
                </c:pt>
              </c:numCache>
            </c:numRef>
          </c:xVal>
          <c:yVal>
            <c:numRef>
              <c:f>Sheet1!$D$2:$D$8</c:f>
              <c:numCache>
                <c:formatCode>General</c:formatCode>
                <c:ptCount val="7"/>
                <c:pt idx="0">
                  <c:v>0</c:v>
                </c:pt>
                <c:pt idx="1">
                  <c:v>1</c:v>
                </c:pt>
                <c:pt idx="2">
                  <c:v>2</c:v>
                </c:pt>
                <c:pt idx="3">
                  <c:v>3</c:v>
                </c:pt>
                <c:pt idx="4">
                  <c:v>4</c:v>
                </c:pt>
                <c:pt idx="5">
                  <c:v>5</c:v>
                </c:pt>
                <c:pt idx="6">
                  <c:v>6</c:v>
                </c:pt>
              </c:numCache>
            </c:numRef>
          </c:yVal>
          <c:smooth val="0"/>
        </c:ser>
        <c:ser>
          <c:idx val="1"/>
          <c:order val="1"/>
          <c:tx>
            <c:strRef>
              <c:f>Sheet1!$E$1</c:f>
              <c:strCache>
                <c:ptCount val="1"/>
                <c:pt idx="0">
                  <c:v>Y向风</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Sheet1!$C$2:$C$8</c:f>
              <c:numCache>
                <c:formatCode>General</c:formatCode>
                <c:ptCount val="7"/>
                <c:pt idx="0">
                  <c:v>0</c:v>
                </c:pt>
                <c:pt idx="1">
                  <c:v>15.882648</c:v>
                </c:pt>
                <c:pt idx="2">
                  <c:v>12.028815</c:v>
                </c:pt>
                <c:pt idx="3">
                  <c:v>8.431905</c:v>
                </c:pt>
                <c:pt idx="4">
                  <c:v>5.588675</c:v>
                </c:pt>
                <c:pt idx="5">
                  <c:v>3.256271</c:v>
                </c:pt>
                <c:pt idx="6">
                  <c:v>1.503968</c:v>
                </c:pt>
              </c:numCache>
            </c:numRef>
          </c:xVal>
          <c:yVal>
            <c:numRef>
              <c:f>Sheet1!$E$2:$E$8</c:f>
              <c:numCache>
                <c:formatCode>General</c:formatCode>
                <c:ptCount val="7"/>
                <c:pt idx="0">
                  <c:v>0</c:v>
                </c:pt>
                <c:pt idx="1">
                  <c:v>1</c:v>
                </c:pt>
                <c:pt idx="2">
                  <c:v>2</c:v>
                </c:pt>
                <c:pt idx="3">
                  <c:v>3</c:v>
                </c:pt>
                <c:pt idx="4">
                  <c:v>4</c:v>
                </c:pt>
                <c:pt idx="5">
                  <c:v>5</c:v>
                </c:pt>
                <c:pt idx="6">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弯矩(*10^3kN.m)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X向风</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Sheet1!$B$2:$B$8</c:f>
              <c:numCache>
                <c:formatCode>General</c:formatCode>
                <c:ptCount val="7"/>
                <c:pt idx="0">
                  <c:v>0</c:v>
                </c:pt>
                <c:pt idx="1">
                  <c:v>5.481128</c:v>
                </c:pt>
                <c:pt idx="2">
                  <c:v>4.125411</c:v>
                </c:pt>
                <c:pt idx="3">
                  <c:v>2.860075</c:v>
                </c:pt>
                <c:pt idx="4">
                  <c:v>1.896997</c:v>
                </c:pt>
                <c:pt idx="5">
                  <c:v>1.105948</c:v>
                </c:pt>
                <c:pt idx="6">
                  <c:v>0.5111</c:v>
                </c:pt>
              </c:numCache>
            </c:numRef>
          </c:xVal>
          <c:yVal>
            <c:numRef>
              <c:f>Sheet1!$D$2:$D$8</c:f>
              <c:numCache>
                <c:formatCode>General</c:formatCode>
                <c:ptCount val="7"/>
                <c:pt idx="0">
                  <c:v>0</c:v>
                </c:pt>
                <c:pt idx="1">
                  <c:v>1</c:v>
                </c:pt>
                <c:pt idx="2">
                  <c:v>2</c:v>
                </c:pt>
                <c:pt idx="3">
                  <c:v>3</c:v>
                </c:pt>
                <c:pt idx="4">
                  <c:v>4</c:v>
                </c:pt>
                <c:pt idx="5">
                  <c:v>5</c:v>
                </c:pt>
                <c:pt idx="6">
                  <c:v>6</c:v>
                </c:pt>
              </c:numCache>
            </c:numRef>
          </c:yVal>
          <c:smooth val="0"/>
        </c:ser>
        <c:ser>
          <c:idx val="1"/>
          <c:order val="1"/>
          <c:tx>
            <c:strRef>
              <c:f>Sheet1!$E$1</c:f>
              <c:strCache>
                <c:ptCount val="1"/>
                <c:pt idx="0">
                  <c:v>Y向风</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Sheet1!$C$2:$C$8</c:f>
              <c:numCache>
                <c:formatCode>General</c:formatCode>
                <c:ptCount val="7"/>
                <c:pt idx="0">
                  <c:v>0</c:v>
                </c:pt>
                <c:pt idx="1">
                  <c:v>13.219495</c:v>
                </c:pt>
                <c:pt idx="2">
                  <c:v>10.011662</c:v>
                </c:pt>
                <c:pt idx="3">
                  <c:v>7.017685</c:v>
                </c:pt>
                <c:pt idx="4">
                  <c:v>4.651293</c:v>
                </c:pt>
                <c:pt idx="5">
                  <c:v>2.710059</c:v>
                </c:pt>
                <c:pt idx="6">
                  <c:v>1.251811</c:v>
                </c:pt>
              </c:numCache>
            </c:numRef>
          </c:xVal>
          <c:yVal>
            <c:numRef>
              <c:f>Sheet1!$E$2:$E$8</c:f>
              <c:numCache>
                <c:formatCode>General</c:formatCode>
                <c:ptCount val="7"/>
                <c:pt idx="0">
                  <c:v>0</c:v>
                </c:pt>
                <c:pt idx="1">
                  <c:v>1</c:v>
                </c:pt>
                <c:pt idx="2">
                  <c:v>2</c:v>
                </c:pt>
                <c:pt idx="3">
                  <c:v>3</c:v>
                </c:pt>
                <c:pt idx="4">
                  <c:v>4</c:v>
                </c:pt>
                <c:pt idx="5">
                  <c:v>5</c:v>
                </c:pt>
                <c:pt idx="6">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弯矩(*10^3kN.m)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1.523696</c:v>
                </c:pt>
                <c:pt idx="1">
                  <c:v>0.099735</c:v>
                </c:pt>
                <c:pt idx="2">
                  <c:v>0.112045</c:v>
                </c:pt>
                <c:pt idx="3">
                  <c:v>0.109862</c:v>
                </c:pt>
                <c:pt idx="4">
                  <c:v>0.102509</c:v>
                </c:pt>
                <c:pt idx="5">
                  <c:v>0.031434</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2.85954</c:v>
                </c:pt>
                <c:pt idx="1">
                  <c:v>0.101183</c:v>
                </c:pt>
                <c:pt idx="2">
                  <c:v>0.113853</c:v>
                </c:pt>
                <c:pt idx="3">
                  <c:v>0.11167</c:v>
                </c:pt>
                <c:pt idx="4">
                  <c:v>0.104317</c:v>
                </c:pt>
                <c:pt idx="5">
                  <c:v>0.031434</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刚度(*10^7kN/m)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1</c:v>
                </c:pt>
                <c:pt idx="1">
                  <c:v>0.065456</c:v>
                </c:pt>
                <c:pt idx="2">
                  <c:v>1.123417</c:v>
                </c:pt>
                <c:pt idx="3">
                  <c:v>0.980521</c:v>
                </c:pt>
                <c:pt idx="4">
                  <c:v>0.933074</c:v>
                </c:pt>
                <c:pt idx="5">
                  <c:v>0.306647</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c:v>
                </c:pt>
                <c:pt idx="1">
                  <c:v>0.035384</c:v>
                </c:pt>
                <c:pt idx="2">
                  <c:v>1.125213</c:v>
                </c:pt>
                <c:pt idx="3">
                  <c:v>0.98083</c:v>
                </c:pt>
                <c:pt idx="4">
                  <c:v>0.934158</c:v>
                </c:pt>
                <c:pt idx="5">
                  <c:v>0.301332</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刚度比</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15.410264</c:v>
                </c:pt>
                <c:pt idx="1">
                  <c:v>17.444115</c:v>
                </c:pt>
                <c:pt idx="2">
                  <c:v>17.43585</c:v>
                </c:pt>
                <c:pt idx="3">
                  <c:v>16.890215</c:v>
                </c:pt>
                <c:pt idx="4">
                  <c:v>16.890215</c:v>
                </c:pt>
                <c:pt idx="5">
                  <c:v>3.353943</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15.410264</c:v>
                </c:pt>
                <c:pt idx="1">
                  <c:v>17.444115</c:v>
                </c:pt>
                <c:pt idx="2">
                  <c:v>17.43585</c:v>
                </c:pt>
                <c:pt idx="3">
                  <c:v>16.890215</c:v>
                </c:pt>
                <c:pt idx="4">
                  <c:v>16.890215</c:v>
                </c:pt>
                <c:pt idx="5">
                  <c:v>3.353943</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刚度(*10^5kN/m)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1</c:v>
                </c:pt>
                <c:pt idx="1">
                  <c:v>1.13198</c:v>
                </c:pt>
                <c:pt idx="2">
                  <c:v>0.999526</c:v>
                </c:pt>
                <c:pt idx="3">
                  <c:v>0.968706</c:v>
                </c:pt>
                <c:pt idx="4">
                  <c:v>1</c:v>
                </c:pt>
                <c:pt idx="5">
                  <c:v>0.198573</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c:v>
                </c:pt>
                <c:pt idx="1">
                  <c:v>1.13198</c:v>
                </c:pt>
                <c:pt idx="2">
                  <c:v>0.999526</c:v>
                </c:pt>
                <c:pt idx="3">
                  <c:v>0.968706</c:v>
                </c:pt>
                <c:pt idx="4">
                  <c:v>1</c:v>
                </c:pt>
                <c:pt idx="5">
                  <c:v>0.198573</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刚度比</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4.414565</c:v>
                </c:pt>
                <c:pt idx="1">
                  <c:v>0.201169</c:v>
                </c:pt>
                <c:pt idx="2">
                  <c:v>0.227709</c:v>
                </c:pt>
                <c:pt idx="3">
                  <c:v>0.212629</c:v>
                </c:pt>
                <c:pt idx="4">
                  <c:v>0.171159</c:v>
                </c:pt>
                <c:pt idx="5">
                  <c:v>0.04284</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4.100789</c:v>
                </c:pt>
                <c:pt idx="1">
                  <c:v>0.221751</c:v>
                </c:pt>
                <c:pt idx="2">
                  <c:v>0.253416</c:v>
                </c:pt>
                <c:pt idx="3">
                  <c:v>0.230972</c:v>
                </c:pt>
                <c:pt idx="4">
                  <c:v>0.174775</c:v>
                </c:pt>
                <c:pt idx="5">
                  <c:v>0.04284</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刚度(*10^7kN/m)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1</c:v>
                </c:pt>
                <c:pt idx="1">
                  <c:v>0.045569</c:v>
                </c:pt>
                <c:pt idx="2">
                  <c:v>1.131932</c:v>
                </c:pt>
                <c:pt idx="3">
                  <c:v>0.933774</c:v>
                </c:pt>
                <c:pt idx="4">
                  <c:v>0.804968</c:v>
                </c:pt>
                <c:pt idx="5">
                  <c:v>0.250291</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c:v>
                </c:pt>
                <c:pt idx="1">
                  <c:v>0.054075</c:v>
                </c:pt>
                <c:pt idx="2">
                  <c:v>1.142795</c:v>
                </c:pt>
                <c:pt idx="3">
                  <c:v>0.911435</c:v>
                </c:pt>
                <c:pt idx="4">
                  <c:v>0.756695</c:v>
                </c:pt>
                <c:pt idx="5">
                  <c:v>0.245112</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刚度比</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恒载</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6.863744</c:v>
                </c:pt>
                <c:pt idx="1">
                  <c:v>6.699587</c:v>
                </c:pt>
                <c:pt idx="2">
                  <c:v>6.898201</c:v>
                </c:pt>
                <c:pt idx="3">
                  <c:v>6.881857</c:v>
                </c:pt>
                <c:pt idx="4">
                  <c:v>7.888569</c:v>
                </c:pt>
                <c:pt idx="5">
                  <c:v>4.504727</c:v>
                </c:pt>
              </c:numCache>
            </c:numRef>
          </c:xVal>
          <c:yVal>
            <c:numRef>
              <c:f>Sheet1!$E$2:$E$7</c:f>
              <c:numCache>
                <c:formatCode>General</c:formatCode>
                <c:ptCount val="6"/>
                <c:pt idx="0">
                  <c:v>1</c:v>
                </c:pt>
                <c:pt idx="1">
                  <c:v>2</c:v>
                </c:pt>
                <c:pt idx="2">
                  <c:v>3</c:v>
                </c:pt>
                <c:pt idx="3">
                  <c:v>4</c:v>
                </c:pt>
                <c:pt idx="4">
                  <c:v>5</c:v>
                </c:pt>
                <c:pt idx="5">
                  <c:v>6</c:v>
                </c:pt>
              </c:numCache>
            </c:numRef>
          </c:yVal>
          <c:smooth val="0"/>
        </c:ser>
        <c:ser>
          <c:idx val="1"/>
          <c:order val="1"/>
          <c:tx>
            <c:strRef>
              <c:f>Sheet1!$F$1</c:f>
              <c:strCache>
                <c:ptCount val="1"/>
                <c:pt idx="0">
                  <c:v>活载</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0.192297</c:v>
                </c:pt>
                <c:pt idx="1">
                  <c:v>0.532037</c:v>
                </c:pt>
                <c:pt idx="2">
                  <c:v>0.532562</c:v>
                </c:pt>
                <c:pt idx="3">
                  <c:v>0.532562</c:v>
                </c:pt>
                <c:pt idx="4">
                  <c:v>0.533603</c:v>
                </c:pt>
                <c:pt idx="5">
                  <c:v>0.292717</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层质量</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7.056041</c:v>
                </c:pt>
                <c:pt idx="1">
                  <c:v>7.231625</c:v>
                </c:pt>
                <c:pt idx="2">
                  <c:v>7.430764</c:v>
                </c:pt>
                <c:pt idx="3">
                  <c:v>7.41442</c:v>
                </c:pt>
                <c:pt idx="4">
                  <c:v>8.422171</c:v>
                </c:pt>
                <c:pt idx="5">
                  <c:v>4.797444</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质量(*100t)</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3.691901</c:v>
                </c:pt>
                <c:pt idx="1">
                  <c:v>0.443302</c:v>
                </c:pt>
                <c:pt idx="2">
                  <c:v>0.40909</c:v>
                </c:pt>
                <c:pt idx="3">
                  <c:v>0.394961</c:v>
                </c:pt>
                <c:pt idx="4">
                  <c:v>0.359325</c:v>
                </c:pt>
                <c:pt idx="5">
                  <c:v>0.138387</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2.419045</c:v>
                </c:pt>
                <c:pt idx="1">
                  <c:v>0.423939</c:v>
                </c:pt>
                <c:pt idx="2">
                  <c:v>0.390302</c:v>
                </c:pt>
                <c:pt idx="3">
                  <c:v>0.342785</c:v>
                </c:pt>
                <c:pt idx="4">
                  <c:v>0.312491</c:v>
                </c:pt>
                <c:pt idx="5">
                  <c:v>0.127173</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刚度(*10^6kN/m)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限值线:1.0</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1</c:v>
                </c:pt>
                <c:pt idx="1">
                  <c:v>1</c:v>
                </c:pt>
                <c:pt idx="2">
                  <c:v>3</c:v>
                </c:pt>
                <c:pt idx="3">
                  <c:v>4</c:v>
                </c:pt>
                <c:pt idx="4">
                  <c:v>5</c:v>
                </c:pt>
                <c:pt idx="5">
                  <c:v>6</c:v>
                </c:pt>
              </c:numCache>
            </c:numRef>
          </c:xVal>
          <c:yVal>
            <c:numRef>
              <c:f>Sheet1!$E$2:$E$3</c:f>
              <c:numCache>
                <c:formatCode>General</c:formatCode>
                <c:ptCount val="2"/>
                <c:pt idx="0">
                  <c:v>0</c:v>
                </c:pt>
                <c:pt idx="1">
                  <c:v>6</c:v>
                </c:pt>
              </c:numCache>
            </c:numRef>
          </c:yVal>
          <c:smooth val="0"/>
        </c:ser>
        <c:ser>
          <c:idx val="1"/>
          <c:order val="1"/>
          <c:tx>
            <c:strRef>
              <c:f>Sheet1!$F$1</c:f>
              <c:strCache>
                <c:ptCount val="1"/>
                <c:pt idx="0">
                  <c:v>X向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11.099206</c:v>
                </c:pt>
                <c:pt idx="1">
                  <c:v>1.42893</c:v>
                </c:pt>
                <c:pt idx="2">
                  <c:v>1.479676</c:v>
                </c:pt>
                <c:pt idx="3">
                  <c:v>1.570252</c:v>
                </c:pt>
                <c:pt idx="4">
                  <c:v>3.70932</c:v>
                </c:pt>
                <c:pt idx="5">
                  <c:v>1</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Y向</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7.840287</c:v>
                </c:pt>
                <c:pt idx="1">
                  <c:v>1.520473</c:v>
                </c:pt>
                <c:pt idx="2">
                  <c:v>1.626602</c:v>
                </c:pt>
                <c:pt idx="3">
                  <c:v>1.56706</c:v>
                </c:pt>
                <c:pt idx="4">
                  <c:v>3.510292</c:v>
                </c:pt>
                <c:pt idx="5">
                  <c:v>1</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刚度比1</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8.497389</c:v>
                </c:pt>
                <c:pt idx="1">
                  <c:v>5.865074</c:v>
                </c:pt>
                <c:pt idx="2">
                  <c:v>6.32426</c:v>
                </c:pt>
                <c:pt idx="3">
                  <c:v>6.210319</c:v>
                </c:pt>
                <c:pt idx="4">
                  <c:v>5.999606</c:v>
                </c:pt>
                <c:pt idx="5">
                  <c:v>2.062699</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13.453945</c:v>
                </c:pt>
                <c:pt idx="1">
                  <c:v>6.259234</c:v>
                </c:pt>
                <c:pt idx="2">
                  <c:v>6.004177</c:v>
                </c:pt>
                <c:pt idx="3">
                  <c:v>5.279311</c:v>
                </c:pt>
                <c:pt idx="4">
                  <c:v>4.748272</c:v>
                </c:pt>
                <c:pt idx="5">
                  <c:v>1.794328</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刚度(*10^5kN/m)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限值线:1.0</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1</c:v>
                </c:pt>
                <c:pt idx="1">
                  <c:v>1</c:v>
                </c:pt>
                <c:pt idx="2">
                  <c:v>3</c:v>
                </c:pt>
                <c:pt idx="3">
                  <c:v>4</c:v>
                </c:pt>
                <c:pt idx="4">
                  <c:v>5</c:v>
                </c:pt>
                <c:pt idx="5">
                  <c:v>6</c:v>
                </c:pt>
              </c:numCache>
            </c:numRef>
          </c:xVal>
          <c:yVal>
            <c:numRef>
              <c:f>Sheet1!$E$2:$E$3</c:f>
              <c:numCache>
                <c:formatCode>General</c:formatCode>
                <c:ptCount val="2"/>
                <c:pt idx="0">
                  <c:v>0</c:v>
                </c:pt>
                <c:pt idx="1">
                  <c:v>6</c:v>
                </c:pt>
              </c:numCache>
            </c:numRef>
          </c:yVal>
          <c:smooth val="0"/>
        </c:ser>
        <c:ser>
          <c:idx val="1"/>
          <c:order val="1"/>
          <c:tx>
            <c:strRef>
              <c:f>Sheet1!$F$1</c:f>
              <c:strCache>
                <c:ptCount val="1"/>
                <c:pt idx="0">
                  <c:v>X向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1.731837</c:v>
                </c:pt>
                <c:pt idx="1">
                  <c:v>1.186673</c:v>
                </c:pt>
                <c:pt idx="2">
                  <c:v>1.454781</c:v>
                </c:pt>
                <c:pt idx="3">
                  <c:v>1.478745</c:v>
                </c:pt>
                <c:pt idx="4">
                  <c:v>4.15517</c:v>
                </c:pt>
                <c:pt idx="5">
                  <c:v>1</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Y向</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2.875967</c:v>
                </c:pt>
                <c:pt idx="1">
                  <c:v>1.464102</c:v>
                </c:pt>
                <c:pt idx="2">
                  <c:v>1.624719</c:v>
                </c:pt>
                <c:pt idx="3">
                  <c:v>1.588341</c:v>
                </c:pt>
                <c:pt idx="4">
                  <c:v>3.780382</c:v>
                </c:pt>
                <c:pt idx="5">
                  <c:v>1</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刚度比1</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10.636346</c:v>
                </c:pt>
                <c:pt idx="1">
                  <c:v>0.818953</c:v>
                </c:pt>
                <c:pt idx="2">
                  <c:v>0.688215</c:v>
                </c:pt>
                <c:pt idx="3">
                  <c:v>0.634461</c:v>
                </c:pt>
                <c:pt idx="4">
                  <c:v>0.586411</c:v>
                </c:pt>
                <c:pt idx="5">
                  <c:v>0.223515</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4.955299</c:v>
                </c:pt>
                <c:pt idx="1">
                  <c:v>0.722432</c:v>
                </c:pt>
                <c:pt idx="2">
                  <c:v>0.629609</c:v>
                </c:pt>
                <c:pt idx="3">
                  <c:v>0.540159</c:v>
                </c:pt>
                <c:pt idx="4">
                  <c:v>0.460067</c:v>
                </c:pt>
                <c:pt idx="5">
                  <c:v>0.195109</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刚度(*10^6kN/m)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限值线:1.0</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1</c:v>
                </c:pt>
                <c:pt idx="1">
                  <c:v>1</c:v>
                </c:pt>
                <c:pt idx="2">
                  <c:v>3</c:v>
                </c:pt>
                <c:pt idx="3">
                  <c:v>4</c:v>
                </c:pt>
                <c:pt idx="4">
                  <c:v>5</c:v>
                </c:pt>
                <c:pt idx="5">
                  <c:v>6</c:v>
                </c:pt>
              </c:numCache>
            </c:numRef>
          </c:xVal>
          <c:yVal>
            <c:numRef>
              <c:f>Sheet1!$E$2:$E$3</c:f>
              <c:numCache>
                <c:formatCode>General</c:formatCode>
                <c:ptCount val="2"/>
                <c:pt idx="0">
                  <c:v>0</c:v>
                </c:pt>
                <c:pt idx="1">
                  <c:v>6</c:v>
                </c:pt>
              </c:numCache>
            </c:numRef>
          </c:yVal>
          <c:smooth val="0"/>
        </c:ser>
        <c:ser>
          <c:idx val="1"/>
          <c:order val="1"/>
          <c:tx>
            <c:strRef>
              <c:f>Sheet1!$F$1</c:f>
              <c:strCache>
                <c:ptCount val="1"/>
                <c:pt idx="0">
                  <c:v>X向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18.553905</c:v>
                </c:pt>
                <c:pt idx="1">
                  <c:v>1.608662</c:v>
                </c:pt>
                <c:pt idx="2">
                  <c:v>1.549607</c:v>
                </c:pt>
                <c:pt idx="3">
                  <c:v>1.545626</c:v>
                </c:pt>
                <c:pt idx="4">
                  <c:v>3.747989</c:v>
                </c:pt>
                <c:pt idx="5">
                  <c:v>1</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Y向</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9.798844</c:v>
                </c:pt>
                <c:pt idx="1">
                  <c:v>1.639186</c:v>
                </c:pt>
                <c:pt idx="2">
                  <c:v>1.66514</c:v>
                </c:pt>
                <c:pt idx="3">
                  <c:v>1.677268</c:v>
                </c:pt>
                <c:pt idx="4">
                  <c:v>3.368578</c:v>
                </c:pt>
                <c:pt idx="5">
                  <c:v>1</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刚度比1</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8.824084</c:v>
                </c:pt>
                <c:pt idx="1">
                  <c:v>0.460203</c:v>
                </c:pt>
                <c:pt idx="2">
                  <c:v>0.41001</c:v>
                </c:pt>
                <c:pt idx="3">
                  <c:v>0.395401</c:v>
                </c:pt>
                <c:pt idx="4">
                  <c:v>0.359535</c:v>
                </c:pt>
                <c:pt idx="5">
                  <c:v>0.138652</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12.830236</c:v>
                </c:pt>
                <c:pt idx="1">
                  <c:v>0.476639</c:v>
                </c:pt>
                <c:pt idx="2">
                  <c:v>0.400412</c:v>
                </c:pt>
                <c:pt idx="3">
                  <c:v>0.350751</c:v>
                </c:pt>
                <c:pt idx="4">
                  <c:v>0.316336</c:v>
                </c:pt>
                <c:pt idx="5">
                  <c:v>0.121136</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刚度(*10^6kN/m)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限值线:1.0</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1</c:v>
                </c:pt>
                <c:pt idx="1">
                  <c:v>1</c:v>
                </c:pt>
                <c:pt idx="2">
                  <c:v>3</c:v>
                </c:pt>
                <c:pt idx="3">
                  <c:v>4</c:v>
                </c:pt>
                <c:pt idx="4">
                  <c:v>5</c:v>
                </c:pt>
                <c:pt idx="5">
                  <c:v>6</c:v>
                </c:pt>
              </c:numCache>
            </c:numRef>
          </c:xVal>
          <c:yVal>
            <c:numRef>
              <c:f>Sheet1!$E$2:$E$3</c:f>
              <c:numCache>
                <c:formatCode>General</c:formatCode>
                <c:ptCount val="2"/>
                <c:pt idx="0">
                  <c:v>0</c:v>
                </c:pt>
                <c:pt idx="1">
                  <c:v>6</c:v>
                </c:pt>
              </c:numCache>
            </c:numRef>
          </c:yVal>
          <c:smooth val="0"/>
        </c:ser>
        <c:ser>
          <c:idx val="1"/>
          <c:order val="1"/>
          <c:tx>
            <c:strRef>
              <c:f>Sheet1!$F$1</c:f>
              <c:strCache>
                <c:ptCount val="1"/>
                <c:pt idx="0">
                  <c:v>X向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26.145666</c:v>
                </c:pt>
                <c:pt idx="1">
                  <c:v>1.481407</c:v>
                </c:pt>
                <c:pt idx="2">
                  <c:v>1.481356</c:v>
                </c:pt>
                <c:pt idx="3">
                  <c:v>1.571082</c:v>
                </c:pt>
                <c:pt idx="4">
                  <c:v>3.704395</c:v>
                </c:pt>
                <c:pt idx="5">
                  <c:v>1</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Y向</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38.454494</c:v>
                </c:pt>
                <c:pt idx="1">
                  <c:v>1.674376</c:v>
                </c:pt>
                <c:pt idx="2">
                  <c:v>1.630834</c:v>
                </c:pt>
                <c:pt idx="3">
                  <c:v>1.583988</c:v>
                </c:pt>
                <c:pt idx="4">
                  <c:v>3.730594</c:v>
                </c:pt>
                <c:pt idx="5">
                  <c:v>1</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刚度比1</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8.536392</c:v>
                </c:pt>
                <c:pt idx="1">
                  <c:v>5.865569</c:v>
                </c:pt>
                <c:pt idx="2">
                  <c:v>6.327833</c:v>
                </c:pt>
                <c:pt idx="3">
                  <c:v>6.213097</c:v>
                </c:pt>
                <c:pt idx="4">
                  <c:v>6.008289</c:v>
                </c:pt>
                <c:pt idx="5">
                  <c:v>2.076114</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14.164466</c:v>
                </c:pt>
                <c:pt idx="1">
                  <c:v>6.345268</c:v>
                </c:pt>
                <c:pt idx="2">
                  <c:v>6.013632</c:v>
                </c:pt>
                <c:pt idx="3">
                  <c:v>5.282316</c:v>
                </c:pt>
                <c:pt idx="4">
                  <c:v>4.757727</c:v>
                </c:pt>
                <c:pt idx="5">
                  <c:v>1.813655</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刚度(*10^5kN/m)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限值线:1.0</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1</c:v>
                </c:pt>
                <c:pt idx="1">
                  <c:v>1</c:v>
                </c:pt>
                <c:pt idx="2">
                  <c:v>3</c:v>
                </c:pt>
                <c:pt idx="3">
                  <c:v>4</c:v>
                </c:pt>
                <c:pt idx="4">
                  <c:v>5</c:v>
                </c:pt>
                <c:pt idx="5">
                  <c:v>6</c:v>
                </c:pt>
              </c:numCache>
            </c:numRef>
          </c:xVal>
          <c:yVal>
            <c:numRef>
              <c:f>Sheet1!$E$2:$E$3</c:f>
              <c:numCache>
                <c:formatCode>General</c:formatCode>
                <c:ptCount val="2"/>
                <c:pt idx="0">
                  <c:v>0</c:v>
                </c:pt>
                <c:pt idx="1">
                  <c:v>6</c:v>
                </c:pt>
              </c:numCache>
            </c:numRef>
          </c:yVal>
          <c:smooth val="0"/>
        </c:ser>
        <c:ser>
          <c:idx val="1"/>
          <c:order val="1"/>
          <c:tx>
            <c:strRef>
              <c:f>Sheet1!$F$1</c:f>
              <c:strCache>
                <c:ptCount val="1"/>
                <c:pt idx="0">
                  <c:v>X向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1.73914</c:v>
                </c:pt>
                <c:pt idx="1">
                  <c:v>1.185812</c:v>
                </c:pt>
                <c:pt idx="2">
                  <c:v>1.454952</c:v>
                </c:pt>
                <c:pt idx="3">
                  <c:v>1.477268</c:v>
                </c:pt>
                <c:pt idx="4">
                  <c:v>4.134296</c:v>
                </c:pt>
                <c:pt idx="5">
                  <c:v>1</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Y向</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3.010946</c:v>
                </c:pt>
                <c:pt idx="1">
                  <c:v>1.4822</c:v>
                </c:pt>
                <c:pt idx="2">
                  <c:v>1.626352</c:v>
                </c:pt>
                <c:pt idx="3">
                  <c:v>1.586086</c:v>
                </c:pt>
                <c:pt idx="4">
                  <c:v>3.747545</c:v>
                </c:pt>
                <c:pt idx="5">
                  <c:v>1</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刚度比1</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限值线:1.5</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1.5</c:v>
                </c:pt>
                <c:pt idx="1">
                  <c:v>1.5</c:v>
                </c:pt>
                <c:pt idx="2">
                  <c:v>3</c:v>
                </c:pt>
                <c:pt idx="3">
                  <c:v>4</c:v>
                </c:pt>
                <c:pt idx="4">
                  <c:v>5</c:v>
                </c:pt>
                <c:pt idx="5">
                  <c:v>6</c:v>
                </c:pt>
              </c:numCache>
            </c:numRef>
          </c:xVal>
          <c:yVal>
            <c:numRef>
              <c:f>Sheet1!$D$2:$D$3</c:f>
              <c:numCache>
                <c:formatCode>General</c:formatCode>
                <c:ptCount val="2"/>
                <c:pt idx="0">
                  <c:v>0</c:v>
                </c:pt>
                <c:pt idx="1">
                  <c:v>6</c:v>
                </c:pt>
              </c:numCache>
            </c:numRef>
          </c:yVal>
          <c:smooth val="0"/>
        </c:ser>
        <c:ser>
          <c:idx val="1"/>
          <c:order val="1"/>
          <c:tx>
            <c:strRef>
              <c:f>Sheet1!$E$1</c:f>
              <c:strCache>
                <c:ptCount val="1"/>
                <c:pt idx="0">
                  <c:v>质量比</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c:v>
                </c:pt>
                <c:pt idx="1">
                  <c:v>1.024884</c:v>
                </c:pt>
                <c:pt idx="2">
                  <c:v>1.027537</c:v>
                </c:pt>
                <c:pt idx="3">
                  <c:v>0.9978</c:v>
                </c:pt>
                <c:pt idx="4">
                  <c:v>1.135918</c:v>
                </c:pt>
                <c:pt idx="5">
                  <c:v>0.569621</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质量比</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2.620962</c:v>
                </c:pt>
                <c:pt idx="1">
                  <c:v>0.084608</c:v>
                </c:pt>
                <c:pt idx="2">
                  <c:v>0.06906</c:v>
                </c:pt>
                <c:pt idx="3">
                  <c:v>0.063604</c:v>
                </c:pt>
                <c:pt idx="4">
                  <c:v>0.058715</c:v>
                </c:pt>
                <c:pt idx="5">
                  <c:v>0.022527</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2.022576</c:v>
                </c:pt>
                <c:pt idx="1">
                  <c:v>0.082298</c:v>
                </c:pt>
                <c:pt idx="2">
                  <c:v>0.064651</c:v>
                </c:pt>
                <c:pt idx="3">
                  <c:v>0.05524</c:v>
                </c:pt>
                <c:pt idx="4">
                  <c:v>0.046828</c:v>
                </c:pt>
                <c:pt idx="5">
                  <c:v>0.020024</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刚度(*10^7kN/m)</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限值线:1.0</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1</c:v>
                </c:pt>
                <c:pt idx="1">
                  <c:v>1</c:v>
                </c:pt>
                <c:pt idx="2">
                  <c:v>3</c:v>
                </c:pt>
                <c:pt idx="3">
                  <c:v>4</c:v>
                </c:pt>
                <c:pt idx="4">
                  <c:v>5</c:v>
                </c:pt>
                <c:pt idx="5">
                  <c:v>6</c:v>
                </c:pt>
              </c:numCache>
            </c:numRef>
          </c:xVal>
          <c:yVal>
            <c:numRef>
              <c:f>Sheet1!$E$2:$E$3</c:f>
              <c:numCache>
                <c:formatCode>General</c:formatCode>
                <c:ptCount val="2"/>
                <c:pt idx="0">
                  <c:v>0</c:v>
                </c:pt>
                <c:pt idx="1">
                  <c:v>6</c:v>
                </c:pt>
              </c:numCache>
            </c:numRef>
          </c:yVal>
          <c:smooth val="0"/>
        </c:ser>
        <c:ser>
          <c:idx val="1"/>
          <c:order val="1"/>
          <c:tx>
            <c:strRef>
              <c:f>Sheet1!$F$1</c:f>
              <c:strCache>
                <c:ptCount val="1"/>
                <c:pt idx="0">
                  <c:v>X向</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44.253929</c:v>
                </c:pt>
                <c:pt idx="1">
                  <c:v>1.657865</c:v>
                </c:pt>
                <c:pt idx="2">
                  <c:v>1.551126</c:v>
                </c:pt>
                <c:pt idx="3">
                  <c:v>1.547513</c:v>
                </c:pt>
                <c:pt idx="4">
                  <c:v>3.723388</c:v>
                </c:pt>
                <c:pt idx="5">
                  <c:v>1</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Y向</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35.108959</c:v>
                </c:pt>
                <c:pt idx="1">
                  <c:v>1.818515</c:v>
                </c:pt>
                <c:pt idx="2">
                  <c:v>1.671947</c:v>
                </c:pt>
                <c:pt idx="3">
                  <c:v>1.685201</c:v>
                </c:pt>
                <c:pt idx="4">
                  <c:v>3.340905</c:v>
                </c:pt>
                <c:pt idx="5">
                  <c:v>1</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刚度比1</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stacked"/>
        <c:varyColors val="0"/>
        <c:ser>
          <c:idx val="0"/>
          <c:order val="0"/>
          <c:tx>
            <c:strRef>
              <c:f>Sheet1!$B$1</c:f>
              <c:strCache>
                <c:ptCount val="1"/>
                <c:pt idx="0">
                  <c:v>系列0</c:v>
                </c:pt>
              </c:strCache>
            </c:strRef>
          </c:tx>
          <c:spPr>
            <a:solidFill>
              <a:srgbClr val="0000FF"/>
            </a:solidFill>
          </c:spPr>
          <c:invertIfNegative val="0"/>
          <c:dLbls>
            <c:delete val="1"/>
          </c:dLbls>
          <c:cat>
            <c:strRef>
              <c:f>Sheet1!$A$2:$A$9</c:f>
              <c:strCache>
                <c:ptCount val="8"/>
                <c:pt idx="0">
                  <c:v>振型1</c:v>
                </c:pt>
                <c:pt idx="1">
                  <c:v>振型2</c:v>
                </c:pt>
                <c:pt idx="2">
                  <c:v>振型3</c:v>
                </c:pt>
                <c:pt idx="3">
                  <c:v>振型4</c:v>
                </c:pt>
                <c:pt idx="4">
                  <c:v>振型5</c:v>
                </c:pt>
                <c:pt idx="5">
                  <c:v>振型6</c:v>
                </c:pt>
                <c:pt idx="6">
                  <c:v>振型7</c:v>
                </c:pt>
                <c:pt idx="7">
                  <c:v>振型8</c:v>
                </c:pt>
              </c:strCache>
            </c:strRef>
          </c:cat>
          <c:val>
            <c:numRef>
              <c:f>Sheet1!$B$2:$B$9</c:f>
              <c:numCache>
                <c:formatCode>General</c:formatCode>
                <c:ptCount val="8"/>
                <c:pt idx="0">
                  <c:v>1.1933</c:v>
                </c:pt>
                <c:pt idx="1">
                  <c:v>1.1725</c:v>
                </c:pt>
                <c:pt idx="2">
                  <c:v>0.932</c:v>
                </c:pt>
                <c:pt idx="3">
                  <c:v>0.0039</c:v>
                </c:pt>
                <c:pt idx="4">
                  <c:v>0.8973</c:v>
                </c:pt>
                <c:pt idx="5">
                  <c:v>0.9173</c:v>
                </c:pt>
                <c:pt idx="6">
                  <c:v>0.9115</c:v>
                </c:pt>
                <c:pt idx="7">
                  <c:v>0.031</c:v>
                </c:pt>
              </c:numCache>
            </c:numRef>
          </c:val>
        </c:ser>
        <c:ser>
          <c:idx val="1"/>
          <c:order val="1"/>
          <c:tx>
            <c:strRef>
              <c:f>Sheet1!$C$1</c:f>
              <c:strCache>
                <c:ptCount val="1"/>
                <c:pt idx="0">
                  <c:v>系列1</c:v>
                </c:pt>
              </c:strCache>
            </c:strRef>
          </c:tx>
          <c:spPr>
            <a:solidFill>
              <a:srgbClr val="FF0000"/>
            </a:solidFill>
          </c:spPr>
          <c:invertIfNegative val="0"/>
          <c:dLbls>
            <c:delete val="1"/>
          </c:dLbls>
          <c:cat>
            <c:strRef>
              <c:f>Sheet1!$A$2:$A$9</c:f>
              <c:strCache>
                <c:ptCount val="8"/>
                <c:pt idx="0">
                  <c:v>振型1</c:v>
                </c:pt>
                <c:pt idx="1">
                  <c:v>振型2</c:v>
                </c:pt>
                <c:pt idx="2">
                  <c:v>振型3</c:v>
                </c:pt>
                <c:pt idx="3">
                  <c:v>振型4</c:v>
                </c:pt>
                <c:pt idx="4">
                  <c:v>振型5</c:v>
                </c:pt>
                <c:pt idx="5">
                  <c:v>振型6</c:v>
                </c:pt>
                <c:pt idx="6">
                  <c:v>振型7</c:v>
                </c:pt>
                <c:pt idx="7">
                  <c:v>振型8</c:v>
                </c:pt>
              </c:strCache>
            </c:strRef>
          </c:cat>
          <c:val>
            <c:numRef>
              <c:f>Sheet1!$C$2:$C$9</c:f>
              <c:numCache>
                <c:formatCode>General</c:formatCode>
                <c:ptCount val="8"/>
                <c:pt idx="0">
                  <c:v>0.0002</c:v>
                </c:pt>
                <c:pt idx="1">
                  <c:v>0.0001</c:v>
                </c:pt>
                <c:pt idx="2">
                  <c:v>0.038</c:v>
                </c:pt>
                <c:pt idx="3">
                  <c:v>0.9605</c:v>
                </c:pt>
                <c:pt idx="4">
                  <c:v>0.0412</c:v>
                </c:pt>
                <c:pt idx="5">
                  <c:v>0.0002</c:v>
                </c:pt>
                <c:pt idx="6">
                  <c:v>0.0001</c:v>
                </c:pt>
                <c:pt idx="7">
                  <c:v>0.7427</c:v>
                </c:pt>
              </c:numCache>
            </c:numRef>
          </c:val>
        </c:ser>
        <c:dLbls>
          <c:showLegendKey val="0"/>
          <c:showVal val="0"/>
          <c:showCatName val="0"/>
          <c:showSerName val="0"/>
          <c:showPercent val="0"/>
          <c:showBubbleSize val="0"/>
        </c:dLbls>
        <c:gapWidth val="150"/>
        <c:overlap val="100"/>
        <c:axId val="1"/>
        <c:axId val="2"/>
      </c:barChart>
      <c:catAx>
        <c:axId val="1"/>
        <c:scaling>
          <c:orientation val="minMax"/>
        </c:scaling>
        <c:delete val="0"/>
        <c:axPos val="b"/>
        <c:majorGridlines/>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auto val="1"/>
        <c:lblAlgn val="ctr"/>
        <c:lblOffset val="100"/>
        <c:tickLblSkip val="1"/>
        <c:noMultiLvlLbl val="0"/>
      </c:catAx>
      <c:valAx>
        <c:axId val="2"/>
        <c:scaling>
          <c:orientation val="minMax"/>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单位:s</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solidFill>
        <a:srgbClr val="FFFFFF"/>
      </a:solidFill>
      <a:prstDash val="solid"/>
      <a:round/>
    </a:ln>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X向地震</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Sheet1!$B$2:$B$8</c:f>
              <c:numCache>
                <c:formatCode>General</c:formatCode>
                <c:ptCount val="7"/>
                <c:pt idx="0">
                  <c:v>0</c:v>
                </c:pt>
                <c:pt idx="1">
                  <c:v>2.900304</c:v>
                </c:pt>
                <c:pt idx="2">
                  <c:v>2.874076</c:v>
                </c:pt>
                <c:pt idx="3">
                  <c:v>2.630725</c:v>
                </c:pt>
                <c:pt idx="4">
                  <c:v>2.162968</c:v>
                </c:pt>
                <c:pt idx="5">
                  <c:v>1.511317</c:v>
                </c:pt>
                <c:pt idx="6">
                  <c:v>0.609738</c:v>
                </c:pt>
              </c:numCache>
            </c:numRef>
          </c:xVal>
          <c:yVal>
            <c:numRef>
              <c:f>Sheet1!$D$2:$D$8</c:f>
              <c:numCache>
                <c:formatCode>General</c:formatCode>
                <c:ptCount val="7"/>
                <c:pt idx="0">
                  <c:v>0</c:v>
                </c:pt>
                <c:pt idx="1">
                  <c:v>1</c:v>
                </c:pt>
                <c:pt idx="2">
                  <c:v>2</c:v>
                </c:pt>
                <c:pt idx="3">
                  <c:v>3</c:v>
                </c:pt>
                <c:pt idx="4">
                  <c:v>4</c:v>
                </c:pt>
                <c:pt idx="5">
                  <c:v>5</c:v>
                </c:pt>
                <c:pt idx="6">
                  <c:v>6</c:v>
                </c:pt>
              </c:numCache>
            </c:numRef>
          </c:yVal>
          <c:smooth val="0"/>
        </c:ser>
        <c:ser>
          <c:idx val="1"/>
          <c:order val="1"/>
          <c:tx>
            <c:strRef>
              <c:f>Sheet1!$E$1</c:f>
              <c:strCache>
                <c:ptCount val="1"/>
                <c:pt idx="0">
                  <c:v>Y向地震</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Sheet1!$C$2:$C$8</c:f>
              <c:numCache>
                <c:formatCode>General</c:formatCode>
                <c:ptCount val="7"/>
                <c:pt idx="0">
                  <c:v>0</c:v>
                </c:pt>
                <c:pt idx="1">
                  <c:v>2.558216</c:v>
                </c:pt>
                <c:pt idx="2">
                  <c:v>2.524365</c:v>
                </c:pt>
                <c:pt idx="3">
                  <c:v>2.272931</c:v>
                </c:pt>
                <c:pt idx="4">
                  <c:v>1.873291</c:v>
                </c:pt>
                <c:pt idx="5">
                  <c:v>1.372101</c:v>
                </c:pt>
                <c:pt idx="6">
                  <c:v>0.659594</c:v>
                </c:pt>
              </c:numCache>
            </c:numRef>
          </c:xVal>
          <c:yVal>
            <c:numRef>
              <c:f>Sheet1!$E$2:$E$8</c:f>
              <c:numCache>
                <c:formatCode>General</c:formatCode>
                <c:ptCount val="7"/>
                <c:pt idx="0">
                  <c:v>0</c:v>
                </c:pt>
                <c:pt idx="1">
                  <c:v>1</c:v>
                </c:pt>
                <c:pt idx="2">
                  <c:v>2</c:v>
                </c:pt>
                <c:pt idx="3">
                  <c:v>3</c:v>
                </c:pt>
                <c:pt idx="4">
                  <c:v>4</c:v>
                </c:pt>
                <c:pt idx="5">
                  <c:v>5</c:v>
                </c:pt>
                <c:pt idx="6">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剪力(*10^3kN)</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X向地震</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Sheet1!$B$2:$B$8</c:f>
              <c:numCache>
                <c:formatCode>General</c:formatCode>
                <c:ptCount val="7"/>
                <c:pt idx="0">
                  <c:v>0</c:v>
                </c:pt>
                <c:pt idx="1">
                  <c:v>5.016039</c:v>
                </c:pt>
                <c:pt idx="2">
                  <c:v>4.856178</c:v>
                </c:pt>
                <c:pt idx="3">
                  <c:v>4.236961</c:v>
                </c:pt>
                <c:pt idx="4">
                  <c:v>3.489397</c:v>
                </c:pt>
                <c:pt idx="5">
                  <c:v>2.620757</c:v>
                </c:pt>
                <c:pt idx="6">
                  <c:v>1.435046</c:v>
                </c:pt>
              </c:numCache>
            </c:numRef>
          </c:xVal>
          <c:yVal>
            <c:numRef>
              <c:f>Sheet1!$D$2:$D$8</c:f>
              <c:numCache>
                <c:formatCode>General</c:formatCode>
                <c:ptCount val="7"/>
                <c:pt idx="0">
                  <c:v>0</c:v>
                </c:pt>
                <c:pt idx="1">
                  <c:v>1</c:v>
                </c:pt>
                <c:pt idx="2">
                  <c:v>2</c:v>
                </c:pt>
                <c:pt idx="3">
                  <c:v>3</c:v>
                </c:pt>
                <c:pt idx="4">
                  <c:v>4</c:v>
                </c:pt>
                <c:pt idx="5">
                  <c:v>5</c:v>
                </c:pt>
                <c:pt idx="6">
                  <c:v>6</c:v>
                </c:pt>
              </c:numCache>
            </c:numRef>
          </c:yVal>
          <c:smooth val="0"/>
        </c:ser>
        <c:ser>
          <c:idx val="1"/>
          <c:order val="1"/>
          <c:tx>
            <c:strRef>
              <c:f>Sheet1!$E$1</c:f>
              <c:strCache>
                <c:ptCount val="1"/>
                <c:pt idx="0">
                  <c:v>Y向地震</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Sheet1!$C$2:$C$8</c:f>
              <c:numCache>
                <c:formatCode>General</c:formatCode>
                <c:ptCount val="7"/>
                <c:pt idx="0">
                  <c:v>0</c:v>
                </c:pt>
                <c:pt idx="1">
                  <c:v>4.820603</c:v>
                </c:pt>
                <c:pt idx="2">
                  <c:v>4.720101</c:v>
                </c:pt>
                <c:pt idx="3">
                  <c:v>4.170211</c:v>
                </c:pt>
                <c:pt idx="4">
                  <c:v>3.477451</c:v>
                </c:pt>
                <c:pt idx="5">
                  <c:v>2.673807</c:v>
                </c:pt>
                <c:pt idx="6">
                  <c:v>1.535489</c:v>
                </c:pt>
              </c:numCache>
            </c:numRef>
          </c:xVal>
          <c:yVal>
            <c:numRef>
              <c:f>Sheet1!$E$2:$E$8</c:f>
              <c:numCache>
                <c:formatCode>General</c:formatCode>
                <c:ptCount val="7"/>
                <c:pt idx="0">
                  <c:v>0</c:v>
                </c:pt>
                <c:pt idx="1">
                  <c:v>1</c:v>
                </c:pt>
                <c:pt idx="2">
                  <c:v>2</c:v>
                </c:pt>
                <c:pt idx="3">
                  <c:v>3</c:v>
                </c:pt>
                <c:pt idx="4">
                  <c:v>4</c:v>
                </c:pt>
                <c:pt idx="5">
                  <c:v>5</c:v>
                </c:pt>
                <c:pt idx="6">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剪力(*10^3kN)</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X向地震</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Sheet1!$B$2:$B$8</c:f>
              <c:numCache>
                <c:formatCode>General</c:formatCode>
                <c:ptCount val="7"/>
                <c:pt idx="0">
                  <c:v>0</c:v>
                </c:pt>
                <c:pt idx="1">
                  <c:v>4.669288</c:v>
                </c:pt>
                <c:pt idx="2">
                  <c:v>4.63883</c:v>
                </c:pt>
                <c:pt idx="3">
                  <c:v>4.225584</c:v>
                </c:pt>
                <c:pt idx="4">
                  <c:v>3.553685</c:v>
                </c:pt>
                <c:pt idx="5">
                  <c:v>2.701684</c:v>
                </c:pt>
                <c:pt idx="6">
                  <c:v>1.564674</c:v>
                </c:pt>
              </c:numCache>
            </c:numRef>
          </c:xVal>
          <c:yVal>
            <c:numRef>
              <c:f>Sheet1!$D$2:$D$8</c:f>
              <c:numCache>
                <c:formatCode>General</c:formatCode>
                <c:ptCount val="7"/>
                <c:pt idx="0">
                  <c:v>0</c:v>
                </c:pt>
                <c:pt idx="1">
                  <c:v>1</c:v>
                </c:pt>
                <c:pt idx="2">
                  <c:v>2</c:v>
                </c:pt>
                <c:pt idx="3">
                  <c:v>3</c:v>
                </c:pt>
                <c:pt idx="4">
                  <c:v>4</c:v>
                </c:pt>
                <c:pt idx="5">
                  <c:v>5</c:v>
                </c:pt>
                <c:pt idx="6">
                  <c:v>6</c:v>
                </c:pt>
              </c:numCache>
            </c:numRef>
          </c:yVal>
          <c:smooth val="0"/>
        </c:ser>
        <c:ser>
          <c:idx val="1"/>
          <c:order val="1"/>
          <c:tx>
            <c:strRef>
              <c:f>Sheet1!$E$1</c:f>
              <c:strCache>
                <c:ptCount val="1"/>
                <c:pt idx="0">
                  <c:v>Y向地震</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Sheet1!$C$2:$C$8</c:f>
              <c:numCache>
                <c:formatCode>General</c:formatCode>
                <c:ptCount val="7"/>
                <c:pt idx="0">
                  <c:v>0</c:v>
                </c:pt>
                <c:pt idx="1">
                  <c:v>4.123406</c:v>
                </c:pt>
                <c:pt idx="2">
                  <c:v>4.071716</c:v>
                </c:pt>
                <c:pt idx="3">
                  <c:v>3.659208</c:v>
                </c:pt>
                <c:pt idx="4">
                  <c:v>3.07837</c:v>
                </c:pt>
                <c:pt idx="5">
                  <c:v>2.380416</c:v>
                </c:pt>
                <c:pt idx="6">
                  <c:v>1.41879</c:v>
                </c:pt>
              </c:numCache>
            </c:numRef>
          </c:xVal>
          <c:yVal>
            <c:numRef>
              <c:f>Sheet1!$E$2:$E$8</c:f>
              <c:numCache>
                <c:formatCode>General</c:formatCode>
                <c:ptCount val="7"/>
                <c:pt idx="0">
                  <c:v>0</c:v>
                </c:pt>
                <c:pt idx="1">
                  <c:v>1</c:v>
                </c:pt>
                <c:pt idx="2">
                  <c:v>2</c:v>
                </c:pt>
                <c:pt idx="3">
                  <c:v>3</c:v>
                </c:pt>
                <c:pt idx="4">
                  <c:v>4</c:v>
                </c:pt>
                <c:pt idx="5">
                  <c:v>5</c:v>
                </c:pt>
                <c:pt idx="6">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剪力(*10^3kN)</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限值线:0.32</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0.325</c:v>
                </c:pt>
                <c:pt idx="1">
                  <c:v>0.325</c:v>
                </c:pt>
                <c:pt idx="2">
                  <c:v>3</c:v>
                </c:pt>
                <c:pt idx="3">
                  <c:v>4</c:v>
                </c:pt>
                <c:pt idx="4">
                  <c:v>5</c:v>
                </c:pt>
                <c:pt idx="5">
                  <c:v>6</c:v>
                </c:pt>
              </c:numCache>
            </c:numRef>
          </c:xVal>
          <c:yVal>
            <c:numRef>
              <c:f>Sheet1!$E$2:$E$3</c:f>
              <c:numCache>
                <c:formatCode>General</c:formatCode>
                <c:ptCount val="2"/>
                <c:pt idx="0">
                  <c:v>0</c:v>
                </c:pt>
                <c:pt idx="1">
                  <c:v>6</c:v>
                </c:pt>
              </c:numCache>
            </c:numRef>
          </c:yVal>
          <c:smooth val="0"/>
        </c:ser>
        <c:ser>
          <c:idx val="1"/>
          <c:order val="1"/>
          <c:tx>
            <c:strRef>
              <c:f>Sheet1!$F$1</c:f>
              <c:strCache>
                <c:ptCount val="1"/>
                <c:pt idx="0">
                  <c:v>X向地震</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0.684802</c:v>
                </c:pt>
                <c:pt idx="1">
                  <c:v>0.814268</c:v>
                </c:pt>
                <c:pt idx="2">
                  <c:v>0.937375</c:v>
                </c:pt>
                <c:pt idx="3">
                  <c:v>1.048253</c:v>
                </c:pt>
                <c:pt idx="4">
                  <c:v>1.143238</c:v>
                </c:pt>
                <c:pt idx="5">
                  <c:v>1.270964</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Y向地震</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0.60403</c:v>
                </c:pt>
                <c:pt idx="1">
                  <c:v>0.71519</c:v>
                </c:pt>
                <c:pt idx="2">
                  <c:v>0.809887</c:v>
                </c:pt>
                <c:pt idx="3">
                  <c:v>0.907865</c:v>
                </c:pt>
                <c:pt idx="4">
                  <c:v>1.037928</c:v>
                </c:pt>
                <c:pt idx="5">
                  <c:v>1.374887</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剪重比(*1/10)</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限值线:0.32</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0.325</c:v>
                </c:pt>
                <c:pt idx="1">
                  <c:v>0.325</c:v>
                </c:pt>
                <c:pt idx="2">
                  <c:v>3</c:v>
                </c:pt>
                <c:pt idx="3">
                  <c:v>4</c:v>
                </c:pt>
                <c:pt idx="4">
                  <c:v>5</c:v>
                </c:pt>
                <c:pt idx="5">
                  <c:v>6</c:v>
                </c:pt>
              </c:numCache>
            </c:numRef>
          </c:xVal>
          <c:yVal>
            <c:numRef>
              <c:f>Sheet1!$E$2:$E$3</c:f>
              <c:numCache>
                <c:formatCode>General</c:formatCode>
                <c:ptCount val="2"/>
                <c:pt idx="0">
                  <c:v>0</c:v>
                </c:pt>
                <c:pt idx="1">
                  <c:v>6</c:v>
                </c:pt>
              </c:numCache>
            </c:numRef>
          </c:yVal>
          <c:smooth val="0"/>
        </c:ser>
        <c:ser>
          <c:idx val="1"/>
          <c:order val="1"/>
          <c:tx>
            <c:strRef>
              <c:f>Sheet1!$F$1</c:f>
              <c:strCache>
                <c:ptCount val="1"/>
                <c:pt idx="0">
                  <c:v>X向地震</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0.649462</c:v>
                </c:pt>
                <c:pt idx="1">
                  <c:v>0.705177</c:v>
                </c:pt>
                <c:pt idx="2">
                  <c:v>0.779395</c:v>
                </c:pt>
                <c:pt idx="3">
                  <c:v>0.855045</c:v>
                </c:pt>
                <c:pt idx="4">
                  <c:v>0.963021</c:v>
                </c:pt>
                <c:pt idx="5">
                  <c:v>1.287523</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Y向地震</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0.624158</c:v>
                </c:pt>
                <c:pt idx="1">
                  <c:v>0.685417</c:v>
                </c:pt>
                <c:pt idx="2">
                  <c:v>0.767117</c:v>
                </c:pt>
                <c:pt idx="3">
                  <c:v>0.852117</c:v>
                </c:pt>
                <c:pt idx="4">
                  <c:v>0.982515</c:v>
                </c:pt>
                <c:pt idx="5">
                  <c:v>1.377641</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剪重比(*1/10)</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限值线:0.32</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0.325</c:v>
                </c:pt>
                <c:pt idx="1">
                  <c:v>0.325</c:v>
                </c:pt>
                <c:pt idx="2">
                  <c:v>3</c:v>
                </c:pt>
                <c:pt idx="3">
                  <c:v>4</c:v>
                </c:pt>
                <c:pt idx="4">
                  <c:v>5</c:v>
                </c:pt>
                <c:pt idx="5">
                  <c:v>6</c:v>
                </c:pt>
              </c:numCache>
            </c:numRef>
          </c:xVal>
          <c:yVal>
            <c:numRef>
              <c:f>Sheet1!$E$2:$E$3</c:f>
              <c:numCache>
                <c:formatCode>General</c:formatCode>
                <c:ptCount val="2"/>
                <c:pt idx="0">
                  <c:v>0</c:v>
                </c:pt>
                <c:pt idx="1">
                  <c:v>6</c:v>
                </c:pt>
              </c:numCache>
            </c:numRef>
          </c:yVal>
          <c:smooth val="0"/>
        </c:ser>
        <c:ser>
          <c:idx val="1"/>
          <c:order val="1"/>
          <c:tx>
            <c:strRef>
              <c:f>Sheet1!$F$1</c:f>
              <c:strCache>
                <c:ptCount val="1"/>
                <c:pt idx="0">
                  <c:v>X向地震</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0.653729</c:v>
                </c:pt>
                <c:pt idx="1">
                  <c:v>0.794819</c:v>
                </c:pt>
                <c:pt idx="2">
                  <c:v>0.919765</c:v>
                </c:pt>
                <c:pt idx="3">
                  <c:v>1.029825</c:v>
                </c:pt>
                <c:pt idx="4">
                  <c:v>1.170496</c:v>
                </c:pt>
                <c:pt idx="5">
                  <c:v>1.562919</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Y向地震</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0.577302</c:v>
                </c:pt>
                <c:pt idx="1">
                  <c:v>0.69765</c:v>
                </c:pt>
                <c:pt idx="2">
                  <c:v>0.796484</c:v>
                </c:pt>
                <c:pt idx="3">
                  <c:v>0.892083</c:v>
                </c:pt>
                <c:pt idx="4">
                  <c:v>1.031307</c:v>
                </c:pt>
                <c:pt idx="5">
                  <c:v>1.417199</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剪重比(*1/10)</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X向地震</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1</c:v>
                </c:pt>
                <c:pt idx="1">
                  <c:v>1</c:v>
                </c:pt>
                <c:pt idx="2">
                  <c:v>1</c:v>
                </c:pt>
                <c:pt idx="3">
                  <c:v>1</c:v>
                </c:pt>
                <c:pt idx="4">
                  <c:v>1</c:v>
                </c:pt>
                <c:pt idx="5">
                  <c:v>1</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Y向地震</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c:v>
                </c:pt>
                <c:pt idx="1">
                  <c:v>1</c:v>
                </c:pt>
                <c:pt idx="2">
                  <c:v>1</c:v>
                </c:pt>
                <c:pt idx="3">
                  <c:v>1</c:v>
                </c:pt>
                <c:pt idx="4">
                  <c:v>1</c:v>
                </c:pt>
                <c:pt idx="5">
                  <c:v>1</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调整系数</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恒载</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8.330389</c:v>
                </c:pt>
                <c:pt idx="1">
                  <c:v>13.06257</c:v>
                </c:pt>
                <c:pt idx="2">
                  <c:v>12.121082</c:v>
                </c:pt>
                <c:pt idx="3">
                  <c:v>12.1646</c:v>
                </c:pt>
                <c:pt idx="4">
                  <c:v>14.30278</c:v>
                </c:pt>
                <c:pt idx="5">
                  <c:v>10.563274</c:v>
                </c:pt>
              </c:numCache>
            </c:numRef>
          </c:xVal>
          <c:yVal>
            <c:numRef>
              <c:f>Sheet1!$E$2:$E$7</c:f>
              <c:numCache>
                <c:formatCode>General</c:formatCode>
                <c:ptCount val="6"/>
                <c:pt idx="0">
                  <c:v>1</c:v>
                </c:pt>
                <c:pt idx="1">
                  <c:v>2</c:v>
                </c:pt>
                <c:pt idx="2">
                  <c:v>3</c:v>
                </c:pt>
                <c:pt idx="3">
                  <c:v>4</c:v>
                </c:pt>
                <c:pt idx="4">
                  <c:v>5</c:v>
                </c:pt>
                <c:pt idx="5">
                  <c:v>6</c:v>
                </c:pt>
              </c:numCache>
            </c:numRef>
          </c:yVal>
          <c:smooth val="0"/>
        </c:ser>
        <c:ser>
          <c:idx val="1"/>
          <c:order val="1"/>
          <c:tx>
            <c:strRef>
              <c:f>Sheet1!$F$1</c:f>
              <c:strCache>
                <c:ptCount val="1"/>
                <c:pt idx="0">
                  <c:v>活载</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0.038693</c:v>
                </c:pt>
                <c:pt idx="1">
                  <c:v>1.439921</c:v>
                </c:pt>
                <c:pt idx="2">
                  <c:v>1.431538</c:v>
                </c:pt>
                <c:pt idx="3">
                  <c:v>1.431031</c:v>
                </c:pt>
                <c:pt idx="4">
                  <c:v>1.765336</c:v>
                </c:pt>
                <c:pt idx="5">
                  <c:v>0.582511</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层质量</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8.369081</c:v>
                </c:pt>
                <c:pt idx="1">
                  <c:v>14.50249</c:v>
                </c:pt>
                <c:pt idx="2">
                  <c:v>13.55262</c:v>
                </c:pt>
                <c:pt idx="3">
                  <c:v>13.595631</c:v>
                </c:pt>
                <c:pt idx="4">
                  <c:v>16.068115</c:v>
                </c:pt>
                <c:pt idx="5">
                  <c:v>11.145785</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质量(*100t)</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X向地震</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1</c:v>
                </c:pt>
                <c:pt idx="1">
                  <c:v>1</c:v>
                </c:pt>
                <c:pt idx="2">
                  <c:v>1</c:v>
                </c:pt>
                <c:pt idx="3">
                  <c:v>1</c:v>
                </c:pt>
                <c:pt idx="4">
                  <c:v>1</c:v>
                </c:pt>
                <c:pt idx="5">
                  <c:v>1</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Y向地震</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c:v>
                </c:pt>
                <c:pt idx="1">
                  <c:v>1</c:v>
                </c:pt>
                <c:pt idx="2">
                  <c:v>1</c:v>
                </c:pt>
                <c:pt idx="3">
                  <c:v>1</c:v>
                </c:pt>
                <c:pt idx="4">
                  <c:v>1</c:v>
                </c:pt>
                <c:pt idx="5">
                  <c:v>1</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调整系数</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X向地震</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1</c:v>
                </c:pt>
                <c:pt idx="1">
                  <c:v>1</c:v>
                </c:pt>
                <c:pt idx="2">
                  <c:v>1</c:v>
                </c:pt>
                <c:pt idx="3">
                  <c:v>1</c:v>
                </c:pt>
                <c:pt idx="4">
                  <c:v>1</c:v>
                </c:pt>
                <c:pt idx="5">
                  <c:v>1</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Y向地震</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c:v>
                </c:pt>
                <c:pt idx="1">
                  <c:v>1</c:v>
                </c:pt>
                <c:pt idx="2">
                  <c:v>1</c:v>
                </c:pt>
                <c:pt idx="3">
                  <c:v>1</c:v>
                </c:pt>
                <c:pt idx="4">
                  <c:v>1</c:v>
                </c:pt>
                <c:pt idx="5">
                  <c:v>1</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调整系数</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X向二阶效应系数</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0.003582</c:v>
                </c:pt>
                <c:pt idx="1">
                  <c:v>0.026858</c:v>
                </c:pt>
                <c:pt idx="2">
                  <c:v>0.024883</c:v>
                </c:pt>
                <c:pt idx="3">
                  <c:v>0.018914</c:v>
                </c:pt>
                <c:pt idx="4">
                  <c:v>0.013266</c:v>
                </c:pt>
                <c:pt idx="5">
                  <c:v>0.009012</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Y向二阶效应系数</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0.005466</c:v>
                </c:pt>
                <c:pt idx="1">
                  <c:v>0.028084</c:v>
                </c:pt>
                <c:pt idx="2">
                  <c:v>0.026081</c:v>
                </c:pt>
                <c:pt idx="3">
                  <c:v>0.021793</c:v>
                </c:pt>
                <c:pt idx="4">
                  <c:v>0.015254</c:v>
                </c:pt>
                <c:pt idx="5">
                  <c:v>0.009806</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系数</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X向二阶效应系数</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0.029231</c:v>
                </c:pt>
                <c:pt idx="1">
                  <c:v>0.040932</c:v>
                </c:pt>
                <c:pt idx="2">
                  <c:v>0.032244</c:v>
                </c:pt>
                <c:pt idx="3">
                  <c:v>0.024557</c:v>
                </c:pt>
                <c:pt idx="4">
                  <c:v>0.016826</c:v>
                </c:pt>
                <c:pt idx="5">
                  <c:v>0.013897</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Y向二阶效应系数</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0.018462</c:v>
                </c:pt>
                <c:pt idx="1">
                  <c:v>0.038355</c:v>
                </c:pt>
                <c:pt idx="2">
                  <c:v>0.033963</c:v>
                </c:pt>
                <c:pt idx="3">
                  <c:v>0.028887</c:v>
                </c:pt>
                <c:pt idx="4">
                  <c:v>0.02126</c:v>
                </c:pt>
                <c:pt idx="5">
                  <c:v>0.015976</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系数</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X向二阶效应系数</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0.002189</c:v>
                </c:pt>
                <c:pt idx="1">
                  <c:v>0.024856</c:v>
                </c:pt>
                <c:pt idx="2">
                  <c:v>0.025057</c:v>
                </c:pt>
                <c:pt idx="3">
                  <c:v>0.020333</c:v>
                </c:pt>
                <c:pt idx="4">
                  <c:v>0.014597</c:v>
                </c:pt>
                <c:pt idx="5">
                  <c:v>0.011466</c:v>
                </c:pt>
              </c:numCache>
            </c:numRef>
          </c:xVal>
          <c:yVal>
            <c:numRef>
              <c:f>Sheet1!$D$2:$D$7</c:f>
              <c:numCache>
                <c:formatCode>General</c:formatCode>
                <c:ptCount val="6"/>
                <c:pt idx="0">
                  <c:v>1</c:v>
                </c:pt>
                <c:pt idx="1">
                  <c:v>2</c:v>
                </c:pt>
                <c:pt idx="2">
                  <c:v>3</c:v>
                </c:pt>
                <c:pt idx="3">
                  <c:v>4</c:v>
                </c:pt>
                <c:pt idx="4">
                  <c:v>5</c:v>
                </c:pt>
                <c:pt idx="5">
                  <c:v>6</c:v>
                </c:pt>
              </c:numCache>
            </c:numRef>
          </c:yVal>
          <c:smooth val="0"/>
        </c:ser>
        <c:ser>
          <c:idx val="1"/>
          <c:order val="1"/>
          <c:tx>
            <c:strRef>
              <c:f>Sheet1!$E$1</c:f>
              <c:strCache>
                <c:ptCount val="1"/>
                <c:pt idx="0">
                  <c:v>Y向二阶效应系数</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0.004699</c:v>
                </c:pt>
                <c:pt idx="1">
                  <c:v>0.028176</c:v>
                </c:pt>
                <c:pt idx="2">
                  <c:v>0.027389</c:v>
                </c:pt>
                <c:pt idx="3">
                  <c:v>0.023883</c:v>
                </c:pt>
                <c:pt idx="4">
                  <c:v>0.018605</c:v>
                </c:pt>
                <c:pt idx="5">
                  <c:v>0.013136</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系数</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限值线:1.5</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1.5</c:v>
                </c:pt>
                <c:pt idx="1">
                  <c:v>1.5</c:v>
                </c:pt>
                <c:pt idx="2">
                  <c:v>3</c:v>
                </c:pt>
                <c:pt idx="3">
                  <c:v>4</c:v>
                </c:pt>
                <c:pt idx="4">
                  <c:v>5</c:v>
                </c:pt>
                <c:pt idx="5">
                  <c:v>6</c:v>
                </c:pt>
              </c:numCache>
            </c:numRef>
          </c:xVal>
          <c:yVal>
            <c:numRef>
              <c:f>Sheet1!$D$2:$D$3</c:f>
              <c:numCache>
                <c:formatCode>General</c:formatCode>
                <c:ptCount val="2"/>
                <c:pt idx="0">
                  <c:v>0</c:v>
                </c:pt>
                <c:pt idx="1">
                  <c:v>6</c:v>
                </c:pt>
              </c:numCache>
            </c:numRef>
          </c:yVal>
          <c:smooth val="0"/>
        </c:ser>
        <c:ser>
          <c:idx val="1"/>
          <c:order val="1"/>
          <c:tx>
            <c:strRef>
              <c:f>Sheet1!$E$1</c:f>
              <c:strCache>
                <c:ptCount val="1"/>
                <c:pt idx="0">
                  <c:v>质量比</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c:v>
                </c:pt>
                <c:pt idx="1">
                  <c:v>1.732865</c:v>
                </c:pt>
                <c:pt idx="2">
                  <c:v>0.934503</c:v>
                </c:pt>
                <c:pt idx="3">
                  <c:v>1.003174</c:v>
                </c:pt>
                <c:pt idx="4">
                  <c:v>1.181859</c:v>
                </c:pt>
                <c:pt idx="5">
                  <c:v>0.693659</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质量比</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Sheet1!$E$1</c:f>
              <c:strCache>
                <c:ptCount val="1"/>
                <c:pt idx="0">
                  <c:v>恒载</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Sheet1!$B$2:$B$7</c:f>
              <c:numCache>
                <c:formatCode>General</c:formatCode>
                <c:ptCount val="6"/>
                <c:pt idx="0">
                  <c:v>11.703711</c:v>
                </c:pt>
                <c:pt idx="1">
                  <c:v>11.191003</c:v>
                </c:pt>
                <c:pt idx="2">
                  <c:v>10.213</c:v>
                </c:pt>
                <c:pt idx="3">
                  <c:v>10.204559</c:v>
                </c:pt>
                <c:pt idx="4">
                  <c:v>11.569541</c:v>
                </c:pt>
                <c:pt idx="5">
                  <c:v>9.525846</c:v>
                </c:pt>
              </c:numCache>
            </c:numRef>
          </c:xVal>
          <c:yVal>
            <c:numRef>
              <c:f>Sheet1!$E$2:$E$7</c:f>
              <c:numCache>
                <c:formatCode>General</c:formatCode>
                <c:ptCount val="6"/>
                <c:pt idx="0">
                  <c:v>1</c:v>
                </c:pt>
                <c:pt idx="1">
                  <c:v>2</c:v>
                </c:pt>
                <c:pt idx="2">
                  <c:v>3</c:v>
                </c:pt>
                <c:pt idx="3">
                  <c:v>4</c:v>
                </c:pt>
                <c:pt idx="4">
                  <c:v>5</c:v>
                </c:pt>
                <c:pt idx="5">
                  <c:v>6</c:v>
                </c:pt>
              </c:numCache>
            </c:numRef>
          </c:yVal>
          <c:smooth val="0"/>
        </c:ser>
        <c:ser>
          <c:idx val="1"/>
          <c:order val="1"/>
          <c:tx>
            <c:strRef>
              <c:f>Sheet1!$F$1</c:f>
              <c:strCache>
                <c:ptCount val="1"/>
                <c:pt idx="0">
                  <c:v>活载</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1.358413</c:v>
                </c:pt>
                <c:pt idx="1">
                  <c:v>1.230308</c:v>
                </c:pt>
                <c:pt idx="2">
                  <c:v>1.221354</c:v>
                </c:pt>
                <c:pt idx="3">
                  <c:v>1.221556</c:v>
                </c:pt>
                <c:pt idx="4">
                  <c:v>1.500769</c:v>
                </c:pt>
                <c:pt idx="5">
                  <c:v>0.48538</c:v>
                </c:pt>
              </c:numCache>
            </c:numRef>
          </c:xVal>
          <c:yVal>
            <c:numRef>
              <c:f>Sheet1!$F$2:$F$7</c:f>
              <c:numCache>
                <c:formatCode>General</c:formatCode>
                <c:ptCount val="6"/>
                <c:pt idx="0">
                  <c:v>1</c:v>
                </c:pt>
                <c:pt idx="1">
                  <c:v>2</c:v>
                </c:pt>
                <c:pt idx="2">
                  <c:v>3</c:v>
                </c:pt>
                <c:pt idx="3">
                  <c:v>4</c:v>
                </c:pt>
                <c:pt idx="4">
                  <c:v>5</c:v>
                </c:pt>
                <c:pt idx="5">
                  <c:v>6</c:v>
                </c:pt>
              </c:numCache>
            </c:numRef>
          </c:yVal>
          <c:smooth val="0"/>
        </c:ser>
        <c:ser>
          <c:idx val="2"/>
          <c:order val="2"/>
          <c:tx>
            <c:strRef>
              <c:f>Sheet1!$G$1</c:f>
              <c:strCache>
                <c:ptCount val="1"/>
                <c:pt idx="0">
                  <c:v>层质量</c:v>
                </c:pt>
              </c:strCache>
            </c:strRef>
          </c:tx>
          <c:spPr>
            <a:ln w="19050" cap="rnd" cmpd="sng" algn="ctr">
              <a:solidFill>
                <a:schemeClr val="accent3"/>
              </a:solidFill>
              <a:prstDash val="solid"/>
              <a:round/>
            </a:ln>
          </c:spPr>
          <c:marker>
            <c:spPr>
              <a:ln w="6350" cap="flat" cmpd="sng" algn="ctr">
                <a:solidFill>
                  <a:schemeClr val="accent3"/>
                </a:solidFill>
                <a:prstDash val="solid"/>
                <a:round/>
              </a:ln>
            </c:spPr>
          </c:marker>
          <c:dLbls>
            <c:delete val="1"/>
          </c:dLbls>
          <c:xVal>
            <c:numRef>
              <c:f>Sheet1!$D$2:$D$7</c:f>
              <c:numCache>
                <c:formatCode>General</c:formatCode>
                <c:ptCount val="6"/>
                <c:pt idx="0">
                  <c:v>13.062124</c:v>
                </c:pt>
                <c:pt idx="1">
                  <c:v>12.421311</c:v>
                </c:pt>
                <c:pt idx="2">
                  <c:v>11.434354</c:v>
                </c:pt>
                <c:pt idx="3">
                  <c:v>11.426115</c:v>
                </c:pt>
                <c:pt idx="4">
                  <c:v>13.07031</c:v>
                </c:pt>
                <c:pt idx="5">
                  <c:v>10.011226</c:v>
                </c:pt>
              </c:numCache>
            </c:numRef>
          </c:xVal>
          <c:yVal>
            <c:numRef>
              <c:f>Sheet1!$G$2:$G$7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质量(*100t)</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限值线:1.5</c:v>
                </c:pt>
              </c:strCache>
            </c:strRef>
          </c:tx>
          <c:spPr>
            <a:ln w="19050" cap="rnd" cmpd="sng" algn="ctr">
              <a:solidFill>
                <a:srgbClr val="FF0000"/>
              </a:solidFill>
              <a:prstDash val="solid"/>
              <a:round/>
            </a:ln>
          </c:spPr>
          <c:marker>
            <c:spPr>
              <a:ln w="6350" cap="flat" cmpd="sng" algn="ctr">
                <a:solidFill>
                  <a:srgbClr val="FF0000"/>
                </a:solidFill>
                <a:prstDash val="solid"/>
                <a:round/>
              </a:ln>
            </c:spPr>
          </c:marker>
          <c:dLbls>
            <c:delete val="1"/>
          </c:dLbls>
          <c:xVal>
            <c:numRef>
              <c:f>Sheet1!$B$2:$B$3</c:f>
              <c:numCache>
                <c:formatCode>General</c:formatCode>
                <c:ptCount val="6"/>
                <c:pt idx="0">
                  <c:v>1.5</c:v>
                </c:pt>
                <c:pt idx="1">
                  <c:v>1.5</c:v>
                </c:pt>
                <c:pt idx="2">
                  <c:v>3</c:v>
                </c:pt>
                <c:pt idx="3">
                  <c:v>4</c:v>
                </c:pt>
                <c:pt idx="4">
                  <c:v>5</c:v>
                </c:pt>
                <c:pt idx="5">
                  <c:v>6</c:v>
                </c:pt>
              </c:numCache>
            </c:numRef>
          </c:xVal>
          <c:yVal>
            <c:numRef>
              <c:f>Sheet1!$D$2:$D$3</c:f>
              <c:numCache>
                <c:formatCode>General</c:formatCode>
                <c:ptCount val="2"/>
                <c:pt idx="0">
                  <c:v>0</c:v>
                </c:pt>
                <c:pt idx="1">
                  <c:v>6</c:v>
                </c:pt>
              </c:numCache>
            </c:numRef>
          </c:yVal>
          <c:smooth val="0"/>
        </c:ser>
        <c:ser>
          <c:idx val="1"/>
          <c:order val="1"/>
          <c:tx>
            <c:strRef>
              <c:f>Sheet1!$E$1</c:f>
              <c:strCache>
                <c:ptCount val="1"/>
                <c:pt idx="0">
                  <c:v>质量比</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Sheet1!$C$2:$C$7</c:f>
              <c:numCache>
                <c:formatCode>General</c:formatCode>
                <c:ptCount val="6"/>
                <c:pt idx="0">
                  <c:v>1</c:v>
                </c:pt>
                <c:pt idx="1">
                  <c:v>0.950941</c:v>
                </c:pt>
                <c:pt idx="2">
                  <c:v>0.920543</c:v>
                </c:pt>
                <c:pt idx="3">
                  <c:v>0.999279</c:v>
                </c:pt>
                <c:pt idx="4">
                  <c:v>1.143898</c:v>
                </c:pt>
                <c:pt idx="5">
                  <c:v>0.765952</c:v>
                </c:pt>
              </c:numCache>
            </c:numRef>
          </c:xVal>
          <c:yVal>
            <c:numRef>
              <c:f>Sheet1!$E$2:$E$7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质量比</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X向风</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Sheet1!$B$2:$B$8</c:f>
              <c:numCache>
                <c:formatCode>General</c:formatCode>
                <c:ptCount val="7"/>
                <c:pt idx="0">
                  <c:v>0</c:v>
                </c:pt>
                <c:pt idx="1">
                  <c:v>2.895547</c:v>
                </c:pt>
                <c:pt idx="2">
                  <c:v>2.895547</c:v>
                </c:pt>
                <c:pt idx="3">
                  <c:v>2.46943</c:v>
                </c:pt>
                <c:pt idx="4">
                  <c:v>2.028329</c:v>
                </c:pt>
                <c:pt idx="5">
                  <c:v>1.525251</c:v>
                </c:pt>
                <c:pt idx="6">
                  <c:v>0.946481</c:v>
                </c:pt>
              </c:numCache>
            </c:numRef>
          </c:xVal>
          <c:yVal>
            <c:numRef>
              <c:f>Sheet1!$D$2:$D$8</c:f>
              <c:numCache>
                <c:formatCode>General</c:formatCode>
                <c:ptCount val="7"/>
                <c:pt idx="0">
                  <c:v>0</c:v>
                </c:pt>
                <c:pt idx="1">
                  <c:v>1</c:v>
                </c:pt>
                <c:pt idx="2">
                  <c:v>2</c:v>
                </c:pt>
                <c:pt idx="3">
                  <c:v>3</c:v>
                </c:pt>
                <c:pt idx="4">
                  <c:v>4</c:v>
                </c:pt>
                <c:pt idx="5">
                  <c:v>5</c:v>
                </c:pt>
                <c:pt idx="6">
                  <c:v>6</c:v>
                </c:pt>
              </c:numCache>
            </c:numRef>
          </c:yVal>
          <c:smooth val="0"/>
        </c:ser>
        <c:ser>
          <c:idx val="1"/>
          <c:order val="1"/>
          <c:tx>
            <c:strRef>
              <c:f>Sheet1!$E$1</c:f>
              <c:strCache>
                <c:ptCount val="1"/>
                <c:pt idx="0">
                  <c:v>Y向风</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Sheet1!$C$2:$C$8</c:f>
              <c:numCache>
                <c:formatCode>General</c:formatCode>
                <c:ptCount val="7"/>
                <c:pt idx="0">
                  <c:v>0</c:v>
                </c:pt>
                <c:pt idx="1">
                  <c:v>4.348199</c:v>
                </c:pt>
                <c:pt idx="2">
                  <c:v>4.348199</c:v>
                </c:pt>
                <c:pt idx="3">
                  <c:v>3.706624</c:v>
                </c:pt>
                <c:pt idx="4">
                  <c:v>3.043882</c:v>
                </c:pt>
                <c:pt idx="5">
                  <c:v>2.289065</c:v>
                </c:pt>
                <c:pt idx="6">
                  <c:v>1.419786</c:v>
                </c:pt>
              </c:numCache>
            </c:numRef>
          </c:xVal>
          <c:yVal>
            <c:numRef>
              <c:f>Sheet1!$E$2:$E$8</c:f>
              <c:numCache>
                <c:formatCode>General</c:formatCode>
                <c:ptCount val="7"/>
                <c:pt idx="0">
                  <c:v>0</c:v>
                </c:pt>
                <c:pt idx="1">
                  <c:v>1</c:v>
                </c:pt>
                <c:pt idx="2">
                  <c:v>2</c:v>
                </c:pt>
                <c:pt idx="3">
                  <c:v>3</c:v>
                </c:pt>
                <c:pt idx="4">
                  <c:v>4</c:v>
                </c:pt>
                <c:pt idx="5">
                  <c:v>5</c:v>
                </c:pt>
                <c:pt idx="6">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剪力(*100kN)</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scatterChart>
        <c:scatterStyle val="lineMarker"/>
        <c:varyColors val="0"/>
        <c:ser>
          <c:idx val="0"/>
          <c:order val="0"/>
          <c:tx>
            <c:strRef>
              <c:f>Sheet1!$D$1</c:f>
              <c:strCache>
                <c:ptCount val="1"/>
                <c:pt idx="0">
                  <c:v>X向风</c:v>
                </c:pt>
              </c:strCache>
            </c:strRef>
          </c:tx>
          <c:spPr>
            <a:ln w="19050" cap="rnd" cmpd="sng" algn="ctr">
              <a:solidFill>
                <a:schemeClr val="accent1"/>
              </a:solidFill>
              <a:prstDash val="solid"/>
              <a:round/>
            </a:ln>
          </c:spPr>
          <c:marker>
            <c:spPr>
              <a:ln w="6350" cap="flat" cmpd="sng" algn="ctr">
                <a:solidFill>
                  <a:schemeClr val="accent1"/>
                </a:solidFill>
                <a:prstDash val="solid"/>
                <a:round/>
              </a:ln>
            </c:spPr>
          </c:marker>
          <c:dLbls>
            <c:delete val="1"/>
          </c:dLbls>
          <c:xVal>
            <c:numRef>
              <c:f>Sheet1!$B$2:$B$8</c:f>
              <c:numCache>
                <c:formatCode>General</c:formatCode>
                <c:ptCount val="7"/>
                <c:pt idx="0">
                  <c:v>0</c:v>
                </c:pt>
                <c:pt idx="1">
                  <c:v>3.012702</c:v>
                </c:pt>
                <c:pt idx="2">
                  <c:v>3.012702</c:v>
                </c:pt>
                <c:pt idx="3">
                  <c:v>2.469428</c:v>
                </c:pt>
                <c:pt idx="4">
                  <c:v>2.028328</c:v>
                </c:pt>
                <c:pt idx="5">
                  <c:v>1.52525</c:v>
                </c:pt>
                <c:pt idx="6">
                  <c:v>0.94648</c:v>
                </c:pt>
              </c:numCache>
            </c:numRef>
          </c:xVal>
          <c:yVal>
            <c:numRef>
              <c:f>Sheet1!$D$2:$D$8</c:f>
              <c:numCache>
                <c:formatCode>General</c:formatCode>
                <c:ptCount val="7"/>
                <c:pt idx="0">
                  <c:v>0</c:v>
                </c:pt>
                <c:pt idx="1">
                  <c:v>1</c:v>
                </c:pt>
                <c:pt idx="2">
                  <c:v>2</c:v>
                </c:pt>
                <c:pt idx="3">
                  <c:v>3</c:v>
                </c:pt>
                <c:pt idx="4">
                  <c:v>4</c:v>
                </c:pt>
                <c:pt idx="5">
                  <c:v>5</c:v>
                </c:pt>
                <c:pt idx="6">
                  <c:v>6</c:v>
                </c:pt>
              </c:numCache>
            </c:numRef>
          </c:yVal>
          <c:smooth val="0"/>
        </c:ser>
        <c:ser>
          <c:idx val="1"/>
          <c:order val="1"/>
          <c:tx>
            <c:strRef>
              <c:f>Sheet1!$E$1</c:f>
              <c:strCache>
                <c:ptCount val="1"/>
                <c:pt idx="0">
                  <c:v>Y向风</c:v>
                </c:pt>
              </c:strCache>
            </c:strRef>
          </c:tx>
          <c:spPr>
            <a:ln w="19050" cap="rnd" cmpd="sng" algn="ctr">
              <a:solidFill>
                <a:schemeClr val="accent2"/>
              </a:solidFill>
              <a:prstDash val="solid"/>
              <a:round/>
            </a:ln>
          </c:spPr>
          <c:marker>
            <c:spPr>
              <a:ln w="6350" cap="flat" cmpd="sng" algn="ctr">
                <a:solidFill>
                  <a:schemeClr val="accent2"/>
                </a:solidFill>
                <a:prstDash val="solid"/>
                <a:round/>
              </a:ln>
            </c:spPr>
          </c:marker>
          <c:dLbls>
            <c:delete val="1"/>
          </c:dLbls>
          <c:xVal>
            <c:numRef>
              <c:f>Sheet1!$C$2:$C$8</c:f>
              <c:numCache>
                <c:formatCode>General</c:formatCode>
                <c:ptCount val="7"/>
                <c:pt idx="0">
                  <c:v>0</c:v>
                </c:pt>
                <c:pt idx="1">
                  <c:v>8.564073</c:v>
                </c:pt>
                <c:pt idx="2">
                  <c:v>8.564073</c:v>
                </c:pt>
                <c:pt idx="3">
                  <c:v>7.290333</c:v>
                </c:pt>
                <c:pt idx="4">
                  <c:v>5.980525</c:v>
                </c:pt>
                <c:pt idx="5">
                  <c:v>4.493083</c:v>
                </c:pt>
                <c:pt idx="6">
                  <c:v>2.785126</c:v>
                </c:pt>
              </c:numCache>
            </c:numRef>
          </c:xVal>
          <c:yVal>
            <c:numRef>
              <c:f>Sheet1!$E$2:$E$8</c:f>
              <c:numCache>
                <c:formatCode>General</c:formatCode>
                <c:ptCount val="7"/>
                <c:pt idx="0">
                  <c:v>0</c:v>
                </c:pt>
                <c:pt idx="1">
                  <c:v>1</c:v>
                </c:pt>
                <c:pt idx="2">
                  <c:v>2</c:v>
                </c:pt>
                <c:pt idx="3">
                  <c:v>3</c:v>
                </c:pt>
                <c:pt idx="4">
                  <c:v>4</c:v>
                </c:pt>
                <c:pt idx="5">
                  <c:v>5</c:v>
                </c:pt>
                <c:pt idx="6">
                  <c:v>6</c:v>
                </c:pt>
              </c:numCache>
            </c:numRef>
          </c:yVal>
          <c:smooth val="0"/>
        </c:ser>
        <c:dLbls>
          <c:showLegendKey val="0"/>
          <c:showVal val="0"/>
          <c:showCatName val="0"/>
          <c:showSerName val="0"/>
          <c:showPercent val="0"/>
          <c:showBubbleSize val="0"/>
        </c:dLbls>
        <c:axId val="1"/>
        <c:axId val="2"/>
      </c:scatterChart>
      <c:valAx>
        <c:axId val="1"/>
        <c:scaling>
          <c:orientation val="minMax"/>
        </c:scaling>
        <c:delete val="0"/>
        <c:axPos val="b"/>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剪力(*100kN)</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
        <c:crosses val="autoZero"/>
        <c:crossBetween val="midCat"/>
      </c:valAx>
      <c:valAx>
        <c:axId val="2"/>
        <c:scaling>
          <c:orientation val="minMax"/>
          <c:max val="6"/>
          <c:min val="0"/>
        </c:scaling>
        <c:delete val="0"/>
        <c:axPos val="l"/>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楼层</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
        <c:crosses val="autoZero"/>
        <c:crossBetween val="midCat"/>
        <c:majorUnit val="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rgbClr val="FFFFFF"/>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Words>
  <Characters>12</Characters>
  <Lines>1</Lines>
  <Paragraphs>1</Paragraphs>
  <TotalTime>1</TotalTime>
  <ScaleCrop>false</ScaleCrop>
  <LinksUpToDate>false</LinksUpToDate>
  <CharactersWithSpaces>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2015-03-16T03:08:00Z</dcterms:created>
  <dc:creator>Admin</dc:creator>
  <cp:lastModifiedBy>传入的名字</cp:lastModifiedBy>
  <dcterms:modified xsi:type="dcterms:W3CDTF">2024-09-23T11:18:08Z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A46F3172474349329B3AAC4D5FC72B8E</vt:lpwstr>
  </property>
</Properties>
</file>