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02DF40">
      <w:pPr>
        <w:pStyle w:val="3"/>
        <w:spacing w:line="288" w:lineRule="auto"/>
        <w:rPr>
          <w:rFonts w:ascii="Times New Roman" w:hAnsi="Times New Roman" w:eastAsiaTheme="minorEastAsia"/>
        </w:rPr>
      </w:pPr>
      <w:r>
        <w:rPr>
          <w:rFonts w:hint="eastAsia" w:ascii="Times New Roman" w:hAnsi="Times New Roman" w:eastAsiaTheme="minorEastAsia"/>
        </w:rPr>
        <w:t>7</w:t>
      </w:r>
      <w:r>
        <w:rPr>
          <w:rFonts w:ascii="Times New Roman" w:hAnsi="Times New Roman" w:eastAsiaTheme="minorEastAsia"/>
        </w:rPr>
        <w:t>.</w:t>
      </w:r>
      <w:r>
        <w:rPr>
          <w:rFonts w:hint="eastAsia" w:ascii="Times New Roman" w:hAnsi="Times New Roman" w:eastAsiaTheme="minorEastAsia"/>
        </w:rPr>
        <w:t>1</w:t>
      </w:r>
      <w:r>
        <w:rPr>
          <w:rFonts w:ascii="Times New Roman" w:hAnsi="Times New Roman" w:eastAsiaTheme="minorEastAsia"/>
        </w:rPr>
        <w:t>.</w:t>
      </w:r>
      <w:r>
        <w:rPr>
          <w:rFonts w:hint="eastAsia" w:ascii="Times New Roman" w:hAnsi="Times New Roman" w:eastAsiaTheme="minorEastAsia"/>
        </w:rPr>
        <w:t>7应制定水资源利用方案，统筹利用各种水资源，并应符合下列规定：1 应按使用用途、付费或管理单元，分别设置用水计量装置；2 用水点处水压大千 0. 2MPa 的配水支管应设置减压设施，并应满足给水配件最低工作压力的要求；3 用水器具和设备应满足节水产品的要求。</w:t>
      </w:r>
    </w:p>
    <w:p w14:paraId="25B316EE">
      <w:pPr>
        <w:numPr>
          <w:ilvl w:val="0"/>
          <w:numId w:val="1"/>
        </w:numPr>
        <w:spacing w:line="288" w:lineRule="auto"/>
        <w:rPr>
          <w:rFonts w:cs="宋体" w:eastAsiaTheme="minorEastAsia"/>
          <w:b/>
          <w:bCs/>
          <w:sz w:val="24"/>
          <w:lang w:val="zh-CN"/>
        </w:rPr>
      </w:pPr>
      <w:r>
        <w:rPr>
          <w:rFonts w:hint="eastAsia" w:cs="宋体" w:eastAsiaTheme="minorEastAsia"/>
          <w:b/>
          <w:bCs/>
          <w:sz w:val="24"/>
          <w:lang w:val="zh-CN"/>
        </w:rPr>
        <w:t>达标自评</w:t>
      </w:r>
    </w:p>
    <w:p w14:paraId="1BF033EB">
      <w:pPr>
        <w:spacing w:line="288" w:lineRule="auto"/>
        <w:rPr>
          <w:rFonts w:eastAsiaTheme="minorEastAsia"/>
          <w:lang w:val="zh-CN"/>
        </w:rPr>
      </w:pPr>
      <w:r>
        <w:rPr>
          <w:rFonts w:hint="eastAsia" w:eastAsiaTheme="minorEastAsia"/>
          <w:lang w:val="zh-CN"/>
        </w:rPr>
        <w:t>☑</w:t>
      </w:r>
      <w:r>
        <w:rPr>
          <w:rFonts w:hint="eastAsia" w:eastAsiaTheme="minorEastAsia"/>
          <w:lang w:val="en-US" w:eastAsia="zh-CN"/>
        </w:rPr>
        <w:t>达</w:t>
      </w:r>
      <w:r>
        <w:rPr>
          <w:rFonts w:hint="eastAsia" w:eastAsiaTheme="minorEastAsia"/>
          <w:lang w:val="zh-CN"/>
        </w:rPr>
        <w:t>标；</w:t>
      </w:r>
      <w:sdt>
        <w:sdtPr>
          <w:rPr>
            <w:rFonts w:hint="eastAsia" w:eastAsiaTheme="minorEastAsia"/>
            <w:sz w:val="28"/>
          </w:rPr>
          <w:id w:val="-977539684"/>
          <w14:checkbox>
            <w14:checked w14:val="0"/>
            <w14:checkedState w14:val="0052" w14:font="Wingdings 2"/>
            <w14:uncheckedState w14:val="00A3" w14:font="Wingdings 2"/>
          </w14:checkbox>
        </w:sdtPr>
        <w:sdtEndPr>
          <w:rPr>
            <w:rFonts w:hint="eastAsia" w:eastAsiaTheme="minorEastAsia"/>
            <w:sz w:val="28"/>
          </w:rPr>
        </w:sdtEndPr>
        <w:sdtContent>
          <w:r>
            <w:rPr>
              <w:rFonts w:hint="eastAsia" w:eastAsiaTheme="minorEastAsia"/>
              <w:sz w:val="28"/>
            </w:rPr>
            <w:sym w:font="Wingdings 2" w:char="F0A3"/>
          </w:r>
        </w:sdtContent>
      </w:sdt>
      <w:r>
        <w:rPr>
          <w:rFonts w:hint="eastAsia" w:eastAsiaTheme="minorEastAsia"/>
          <w:lang w:val="zh-CN"/>
        </w:rPr>
        <w:t>不达标</w:t>
      </w:r>
    </w:p>
    <w:p w14:paraId="6427E6DD">
      <w:pPr>
        <w:numPr>
          <w:ilvl w:val="0"/>
          <w:numId w:val="1"/>
        </w:numPr>
        <w:spacing w:before="200" w:line="288" w:lineRule="auto"/>
        <w:rPr>
          <w:rFonts w:cs="宋体" w:eastAsiaTheme="minorEastAsia"/>
          <w:b/>
          <w:bCs/>
          <w:sz w:val="24"/>
          <w:lang w:val="zh-CN"/>
        </w:rPr>
      </w:pPr>
      <w:r>
        <w:rPr>
          <w:rFonts w:hint="eastAsia" w:cs="宋体" w:eastAsiaTheme="minorEastAsia"/>
          <w:b/>
          <w:bCs/>
          <w:sz w:val="24"/>
          <w:lang w:val="zh-CN"/>
        </w:rPr>
        <w:t>评价要点</w:t>
      </w:r>
    </w:p>
    <w:p w14:paraId="48BF6009">
      <w:pPr>
        <w:pStyle w:val="12"/>
        <w:numPr>
          <w:ilvl w:val="0"/>
          <w:numId w:val="2"/>
        </w:numPr>
        <w:spacing w:line="288" w:lineRule="auto"/>
        <w:ind w:left="632" w:leftChars="100" w:hanging="422" w:hangingChars="200"/>
        <w:rPr>
          <w:rFonts w:cs="宋体" w:eastAsiaTheme="minorEastAsia"/>
        </w:rPr>
      </w:pPr>
      <w:r>
        <w:rPr>
          <w:rFonts w:hint="eastAsia" w:eastAsiaTheme="minorEastAsia"/>
          <w:b/>
        </w:rPr>
        <w:t>水资源利用方案</w:t>
      </w:r>
    </w:p>
    <w:p w14:paraId="2120FA01">
      <w:pPr>
        <w:spacing w:line="288" w:lineRule="auto"/>
        <w:rPr>
          <w:rFonts w:eastAsiaTheme="minorEastAsia"/>
        </w:rPr>
      </w:pPr>
      <w:r>
        <w:rPr>
          <w:rFonts w:eastAsiaTheme="minorEastAsia"/>
        </w:rPr>
        <w:t>是否制定水资源利用方案，统筹利用各种水资源：</w:t>
      </w:r>
      <w:r>
        <w:rPr>
          <w:rFonts w:hint="eastAsia" w:eastAsiaTheme="minorEastAsia"/>
          <w:lang w:val="zh-CN"/>
        </w:rPr>
        <w:t>☑</w:t>
      </w:r>
      <w:r>
        <w:rPr>
          <w:rFonts w:hint="eastAsia" w:eastAsiaTheme="minorEastAsia"/>
          <w:lang w:val="en-US" w:eastAsia="zh-CN"/>
        </w:rPr>
        <w:t>是</w:t>
      </w:r>
      <w:r>
        <w:rPr>
          <w:rFonts w:hint="eastAsia" w:eastAsiaTheme="minorEastAsia"/>
          <w:kern w:val="0"/>
        </w:rPr>
        <w:t>、</w:t>
      </w:r>
      <w:sdt>
        <w:sdtPr>
          <w:rPr>
            <w:rFonts w:hint="eastAsia" w:eastAsiaTheme="minorEastAsia"/>
            <w:sz w:val="28"/>
          </w:rPr>
          <w:id w:val="-483390577"/>
          <w14:checkbox>
            <w14:checked w14:val="0"/>
            <w14:checkedState w14:val="0052" w14:font="Wingdings 2"/>
            <w14:uncheckedState w14:val="00A3" w14:font="Wingdings 2"/>
          </w14:checkbox>
        </w:sdtPr>
        <w:sdtEndPr>
          <w:rPr>
            <w:rFonts w:hint="eastAsia" w:eastAsiaTheme="minorEastAsia"/>
            <w:sz w:val="28"/>
          </w:rPr>
        </w:sdtEndPr>
        <w:sdtContent>
          <w:r>
            <w:rPr>
              <w:rFonts w:hint="eastAsia" w:eastAsiaTheme="minorEastAsia"/>
              <w:sz w:val="28"/>
            </w:rPr>
            <w:sym w:font="Wingdings 2" w:char="F0A3"/>
          </w:r>
        </w:sdtContent>
      </w:sdt>
      <w:r>
        <w:rPr>
          <w:rFonts w:eastAsiaTheme="minorEastAsia"/>
          <w:kern w:val="0"/>
        </w:rPr>
        <w:t>否</w:t>
      </w:r>
    </w:p>
    <w:p w14:paraId="6D81BC30">
      <w:pPr>
        <w:spacing w:line="288" w:lineRule="auto"/>
        <w:rPr>
          <w:rFonts w:eastAsiaTheme="minorEastAsia"/>
        </w:rPr>
      </w:pPr>
      <w:r>
        <w:rPr>
          <w:rFonts w:hint="eastAsia" w:eastAsiaTheme="minorEastAsia"/>
        </w:rPr>
        <w:t>水</w:t>
      </w:r>
      <w:r>
        <w:rPr>
          <w:rFonts w:eastAsiaTheme="minorEastAsia"/>
        </w:rPr>
        <w:t>资源利用</w:t>
      </w:r>
      <w:r>
        <w:rPr>
          <w:rFonts w:hint="eastAsia" w:eastAsiaTheme="minorEastAsia"/>
        </w:rPr>
        <w:t>方案内容包括：</w:t>
      </w:r>
      <w:r>
        <w:rPr>
          <w:rFonts w:hint="eastAsia" w:eastAsiaTheme="minorEastAsia"/>
          <w:lang w:val="zh-CN"/>
        </w:rPr>
        <w:t>☑</w:t>
      </w:r>
      <w:r>
        <w:rPr>
          <w:rFonts w:hint="eastAsia" w:eastAsiaTheme="minorEastAsia"/>
          <w:lang w:val="en-US" w:eastAsia="zh-CN"/>
        </w:rPr>
        <w:t>当</w:t>
      </w:r>
      <w:r>
        <w:rPr>
          <w:rFonts w:hint="eastAsia" w:eastAsiaTheme="minorEastAsia"/>
        </w:rPr>
        <w:t>地节水要求及水资源状况、</w:t>
      </w:r>
      <w:r>
        <w:rPr>
          <w:rFonts w:hint="eastAsia" w:eastAsiaTheme="minorEastAsia"/>
          <w:lang w:val="zh-CN"/>
        </w:rPr>
        <w:t>☑</w:t>
      </w:r>
      <w:r>
        <w:rPr>
          <w:rFonts w:hint="eastAsia" w:eastAsiaTheme="minorEastAsia"/>
          <w:lang w:val="en-US" w:eastAsia="zh-CN"/>
        </w:rPr>
        <w:t>市</w:t>
      </w:r>
      <w:r>
        <w:rPr>
          <w:rFonts w:eastAsiaTheme="minorEastAsia"/>
        </w:rPr>
        <w:t>政设施情况、</w:t>
      </w:r>
      <w:r>
        <w:rPr>
          <w:rFonts w:hint="eastAsia" w:eastAsiaTheme="minorEastAsia"/>
          <w:lang w:val="zh-CN"/>
        </w:rPr>
        <w:t>☑</w:t>
      </w:r>
      <w:r>
        <w:rPr>
          <w:rFonts w:hint="eastAsia" w:eastAsiaTheme="minorEastAsia"/>
          <w:lang w:val="en-US" w:eastAsia="zh-CN"/>
        </w:rPr>
        <w:t>项</w:t>
      </w:r>
      <w:r>
        <w:rPr>
          <w:rFonts w:hint="eastAsia" w:eastAsiaTheme="minorEastAsia"/>
        </w:rPr>
        <w:t>目概况、</w:t>
      </w:r>
      <w:r>
        <w:rPr>
          <w:rFonts w:hint="eastAsia" w:eastAsiaTheme="minorEastAsia"/>
          <w:lang w:val="zh-CN"/>
        </w:rPr>
        <w:t>☑</w:t>
      </w:r>
      <w:r>
        <w:rPr>
          <w:rFonts w:hint="eastAsia" w:eastAsiaTheme="minorEastAsia"/>
          <w:lang w:val="en-US" w:eastAsia="zh-CN"/>
        </w:rPr>
        <w:t>用</w:t>
      </w:r>
      <w:r>
        <w:rPr>
          <w:rFonts w:hint="eastAsia" w:eastAsiaTheme="minorEastAsia"/>
        </w:rPr>
        <w:t>水定额的确定、</w:t>
      </w:r>
      <w:r>
        <w:rPr>
          <w:rFonts w:hint="eastAsia" w:eastAsiaTheme="minorEastAsia"/>
          <w:lang w:val="zh-CN"/>
        </w:rPr>
        <w:t>☑</w:t>
      </w:r>
      <w:r>
        <w:rPr>
          <w:rFonts w:hint="eastAsia" w:eastAsiaTheme="minorEastAsia"/>
          <w:lang w:val="en-US" w:eastAsia="zh-CN"/>
        </w:rPr>
        <w:t>用</w:t>
      </w:r>
      <w:r>
        <w:rPr>
          <w:rFonts w:hint="eastAsia" w:eastAsiaTheme="minorEastAsia"/>
        </w:rPr>
        <w:t>水量估算及水量平衡、</w:t>
      </w:r>
      <w:r>
        <w:rPr>
          <w:rFonts w:hint="eastAsia" w:eastAsiaTheme="minorEastAsia"/>
          <w:lang w:val="zh-CN"/>
        </w:rPr>
        <w:t>☑</w:t>
      </w:r>
      <w:r>
        <w:rPr>
          <w:rFonts w:hint="eastAsia" w:eastAsiaTheme="minorEastAsia"/>
          <w:lang w:val="en-US" w:eastAsia="zh-CN"/>
        </w:rPr>
        <w:t>给</w:t>
      </w:r>
      <w:r>
        <w:rPr>
          <w:rFonts w:hint="eastAsia" w:eastAsiaTheme="minorEastAsia"/>
        </w:rPr>
        <w:t>排水系统设计方案、</w:t>
      </w:r>
      <w:r>
        <w:rPr>
          <w:rFonts w:hint="eastAsia" w:eastAsiaTheme="minorEastAsia"/>
          <w:lang w:val="zh-CN"/>
        </w:rPr>
        <w:t>☑</w:t>
      </w:r>
      <w:r>
        <w:rPr>
          <w:rFonts w:hint="eastAsia" w:eastAsiaTheme="minorEastAsia"/>
          <w:lang w:val="en-US" w:eastAsia="zh-CN"/>
        </w:rPr>
        <w:t>节</w:t>
      </w:r>
      <w:r>
        <w:rPr>
          <w:rFonts w:hint="eastAsia" w:eastAsiaTheme="minorEastAsia"/>
        </w:rPr>
        <w:t>水器具、</w:t>
      </w:r>
      <w:sdt>
        <w:sdtPr>
          <w:rPr>
            <w:rFonts w:hint="eastAsia" w:eastAsiaTheme="minorEastAsia"/>
            <w:sz w:val="28"/>
          </w:rPr>
          <w:id w:val="1218787117"/>
          <w14:checkbox>
            <w14:checked w14:val="0"/>
            <w14:checkedState w14:val="0052" w14:font="Wingdings 2"/>
            <w14:uncheckedState w14:val="00A3" w14:font="Wingdings 2"/>
          </w14:checkbox>
        </w:sdtPr>
        <w:sdtEndPr>
          <w:rPr>
            <w:rFonts w:hint="eastAsia" w:eastAsiaTheme="minorEastAsia"/>
            <w:sz w:val="28"/>
          </w:rPr>
        </w:sdtEndPr>
        <w:sdtContent>
          <w:r>
            <w:rPr>
              <w:rFonts w:hint="eastAsia" w:eastAsiaTheme="minorEastAsia"/>
              <w:sz w:val="28"/>
            </w:rPr>
            <w:sym w:font="Wingdings 2" w:char="F0A3"/>
          </w:r>
        </w:sdtContent>
      </w:sdt>
      <w:r>
        <w:rPr>
          <w:rFonts w:hint="eastAsia" w:eastAsiaTheme="minorEastAsia"/>
        </w:rPr>
        <w:t>非传统水源利用、</w:t>
      </w:r>
      <w:r>
        <w:rPr>
          <w:rFonts w:hint="eastAsia" w:eastAsiaTheme="minorEastAsia"/>
          <w:lang w:val="zh-CN"/>
        </w:rPr>
        <w:t>☑</w:t>
      </w:r>
      <w:r>
        <w:rPr>
          <w:rFonts w:hint="eastAsia" w:eastAsiaTheme="minorEastAsia"/>
          <w:lang w:val="en-US" w:eastAsia="zh-CN"/>
        </w:rPr>
        <w:t>用</w:t>
      </w:r>
      <w:r>
        <w:rPr>
          <w:rFonts w:eastAsiaTheme="minorEastAsia"/>
        </w:rPr>
        <w:t>水分项计量、</w:t>
      </w:r>
      <w:sdt>
        <w:sdtPr>
          <w:rPr>
            <w:rFonts w:hint="eastAsia" w:eastAsiaTheme="minorEastAsia"/>
            <w:sz w:val="28"/>
          </w:rPr>
          <w:id w:val="384368502"/>
          <w14:checkbox>
            <w14:checked w14:val="0"/>
            <w14:checkedState w14:val="0052" w14:font="Wingdings 2"/>
            <w14:uncheckedState w14:val="00A3" w14:font="Wingdings 2"/>
          </w14:checkbox>
        </w:sdtPr>
        <w:sdtEndPr>
          <w:rPr>
            <w:rFonts w:hint="eastAsia" w:eastAsiaTheme="minorEastAsia"/>
            <w:sz w:val="28"/>
          </w:rPr>
        </w:sdtEndPr>
        <w:sdtContent>
          <w:r>
            <w:rPr>
              <w:rFonts w:hint="eastAsia" w:eastAsiaTheme="minorEastAsia"/>
              <w:sz w:val="28"/>
            </w:rPr>
            <w:sym w:font="Wingdings 2" w:char="F0A3"/>
          </w:r>
        </w:sdtContent>
      </w:sdt>
      <w:r>
        <w:rPr>
          <w:rFonts w:hint="eastAsia" w:eastAsiaTheme="minorEastAsia"/>
        </w:rPr>
        <w:t>其他</w:t>
      </w:r>
      <w:r>
        <w:rPr>
          <w:rFonts w:eastAsiaTheme="minorEastAsia"/>
          <w:lang w:val="zh-CN"/>
        </w:rPr>
        <w:t>__</w:t>
      </w:r>
      <w:r>
        <w:rPr>
          <w:rFonts w:eastAsiaTheme="minorEastAsia"/>
          <w:u w:val="single"/>
          <w:lang w:val="zh-CN"/>
        </w:rPr>
        <w:t>_</w:t>
      </w:r>
      <w:r>
        <w:rPr>
          <w:rFonts w:hint="eastAsia" w:eastAsiaTheme="minorEastAsia"/>
          <w:u w:val="single"/>
          <w:lang w:val="zh-CN"/>
        </w:rPr>
        <w:t xml:space="preserve">           </w:t>
      </w:r>
      <w:r>
        <w:rPr>
          <w:rFonts w:eastAsiaTheme="minorEastAsia"/>
          <w:u w:val="single"/>
          <w:lang w:val="zh-CN"/>
        </w:rPr>
        <w:t>_</w:t>
      </w:r>
    </w:p>
    <w:p w14:paraId="4DD41DEA">
      <w:pPr>
        <w:spacing w:line="288" w:lineRule="auto"/>
        <w:rPr>
          <w:rFonts w:eastAsiaTheme="minorEastAsia"/>
        </w:rPr>
      </w:pPr>
      <w:r>
        <w:rPr>
          <w:rFonts w:hint="eastAsia" w:eastAsiaTheme="minorEastAsia"/>
        </w:rPr>
        <w:t>简要说明水资源利用方案：（</w:t>
      </w:r>
      <w:r>
        <w:rPr>
          <w:rFonts w:eastAsiaTheme="minorEastAsia"/>
        </w:rPr>
        <w:t>300</w:t>
      </w:r>
      <w:r>
        <w:rPr>
          <w:rFonts w:hint="eastAsia" w:eastAsiaTheme="minorEastAsia"/>
        </w:rPr>
        <w:t>字以内）</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64"/>
      </w:tblGrid>
      <w:tr w14:paraId="7D642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3" w:hRule="atLeast"/>
          <w:jc w:val="center"/>
        </w:trPr>
        <w:tc>
          <w:tcPr>
            <w:tcW w:w="8364" w:type="dxa"/>
          </w:tcPr>
          <w:p w14:paraId="4D94C562">
            <w:pPr>
              <w:spacing w:line="288" w:lineRule="auto"/>
              <w:ind w:firstLine="420" w:firstLineChars="200"/>
              <w:rPr>
                <w:rFonts w:eastAsiaTheme="minorEastAsia"/>
                <w:szCs w:val="21"/>
              </w:rPr>
            </w:pPr>
            <w:r>
              <w:rPr>
                <w:rFonts w:hint="eastAsia" w:eastAsiaTheme="minorEastAsia"/>
                <w:szCs w:val="21"/>
              </w:rPr>
              <w:t>水源：本项目以市政给水管网为水源，从西面市政路引入一路DN</w:t>
            </w:r>
            <w:r>
              <w:rPr>
                <w:rFonts w:hint="eastAsia" w:eastAsiaTheme="minorEastAsia"/>
                <w:szCs w:val="21"/>
                <w:lang w:val="en-US" w:eastAsia="zh-CN"/>
              </w:rPr>
              <w:t>25</w:t>
            </w:r>
            <w:r>
              <w:rPr>
                <w:rFonts w:hint="eastAsia" w:eastAsiaTheme="minorEastAsia"/>
                <w:szCs w:val="21"/>
              </w:rPr>
              <w:t>0 的给水管，并向室内各用水点供水，甲方提供基本水压为0.</w:t>
            </w:r>
            <w:r>
              <w:rPr>
                <w:rFonts w:hint="eastAsia" w:eastAsiaTheme="minorEastAsia"/>
                <w:szCs w:val="21"/>
                <w:lang w:val="en-US" w:eastAsia="zh-CN"/>
              </w:rPr>
              <w:t>25</w:t>
            </w:r>
            <w:r>
              <w:rPr>
                <w:rFonts w:hint="eastAsia" w:eastAsiaTheme="minorEastAsia"/>
                <w:szCs w:val="21"/>
              </w:rPr>
              <w:t>MPa。从</w:t>
            </w:r>
            <w:r>
              <w:rPr>
                <w:rFonts w:hint="eastAsia" w:eastAsiaTheme="minorEastAsia"/>
                <w:szCs w:val="21"/>
                <w:lang w:val="en-US" w:eastAsia="zh-CN"/>
              </w:rPr>
              <w:t>南侧伏牛</w:t>
            </w:r>
            <w:r>
              <w:rPr>
                <w:rFonts w:hint="eastAsia" w:eastAsiaTheme="minorEastAsia"/>
                <w:szCs w:val="21"/>
              </w:rPr>
              <w:t>路市政给水管引入</w:t>
            </w:r>
            <w:r>
              <w:rPr>
                <w:rFonts w:hint="eastAsia" w:eastAsiaTheme="minorEastAsia"/>
                <w:szCs w:val="21"/>
                <w:lang w:val="en-US" w:eastAsia="zh-CN"/>
              </w:rPr>
              <w:t>一</w:t>
            </w:r>
            <w:r>
              <w:rPr>
                <w:rFonts w:hint="eastAsia" w:eastAsiaTheme="minorEastAsia"/>
                <w:szCs w:val="21"/>
              </w:rPr>
              <w:t>路DN</w:t>
            </w:r>
            <w:r>
              <w:rPr>
                <w:rFonts w:hint="eastAsia" w:eastAsiaTheme="minorEastAsia"/>
                <w:szCs w:val="21"/>
                <w:lang w:val="en-US" w:eastAsia="zh-CN"/>
              </w:rPr>
              <w:t>25</w:t>
            </w:r>
            <w:r>
              <w:rPr>
                <w:rFonts w:hint="eastAsia" w:eastAsiaTheme="minorEastAsia"/>
                <w:szCs w:val="21"/>
              </w:rPr>
              <w:t>0 的给水管与小区内形成环网。</w:t>
            </w:r>
          </w:p>
          <w:p w14:paraId="602E248F">
            <w:pPr>
              <w:spacing w:line="288" w:lineRule="auto"/>
              <w:ind w:firstLine="420" w:firstLineChars="200"/>
              <w:rPr>
                <w:rFonts w:eastAsiaTheme="minorEastAsia"/>
                <w:szCs w:val="21"/>
              </w:rPr>
            </w:pPr>
            <w:r>
              <w:rPr>
                <w:rFonts w:hint="eastAsia" w:eastAsiaTheme="minorEastAsia"/>
                <w:szCs w:val="21"/>
              </w:rPr>
              <w:t>给水系统：生活给水系统分为市政直供及加压供水系统。本工程生活给水系统：-1F直接由市政供水，</w:t>
            </w:r>
            <w:r>
              <w:rPr>
                <w:rFonts w:hint="eastAsia" w:eastAsiaTheme="minorEastAsia"/>
                <w:szCs w:val="21"/>
                <w:lang w:val="en-US" w:eastAsia="zh-CN"/>
              </w:rPr>
              <w:t>1</w:t>
            </w:r>
            <w:r>
              <w:rPr>
                <w:rFonts w:hint="eastAsia" w:eastAsiaTheme="minorEastAsia"/>
                <w:szCs w:val="21"/>
              </w:rPr>
              <w:t>F至</w:t>
            </w:r>
            <w:r>
              <w:rPr>
                <w:rFonts w:hint="eastAsia" w:eastAsiaTheme="minorEastAsia"/>
                <w:szCs w:val="21"/>
                <w:lang w:val="en-US" w:eastAsia="zh-CN"/>
              </w:rPr>
              <w:t>4</w:t>
            </w:r>
            <w:r>
              <w:rPr>
                <w:rFonts w:hint="eastAsia" w:eastAsiaTheme="minorEastAsia"/>
                <w:szCs w:val="21"/>
              </w:rPr>
              <w:t>F由1区加压给水管网供水，接管处所需水压0.38MPa</w:t>
            </w:r>
            <w:r>
              <w:rPr>
                <w:rFonts w:hint="eastAsia" w:eastAsiaTheme="minorEastAsia"/>
                <w:szCs w:val="21"/>
                <w:lang w:eastAsia="zh-CN"/>
              </w:rPr>
              <w:t>；</w:t>
            </w:r>
            <w:r>
              <w:rPr>
                <w:rFonts w:hint="eastAsia" w:eastAsiaTheme="minorEastAsia"/>
                <w:szCs w:val="21"/>
                <w:lang w:val="en-US" w:eastAsia="zh-CN"/>
              </w:rPr>
              <w:t>5</w:t>
            </w:r>
            <w:r>
              <w:rPr>
                <w:rFonts w:hint="eastAsia" w:eastAsiaTheme="minorEastAsia"/>
                <w:szCs w:val="21"/>
              </w:rPr>
              <w:t>F至</w:t>
            </w:r>
            <w:r>
              <w:rPr>
                <w:rFonts w:hint="eastAsia" w:eastAsiaTheme="minorEastAsia"/>
                <w:szCs w:val="21"/>
                <w:lang w:val="en-US" w:eastAsia="zh-CN"/>
              </w:rPr>
              <w:t>13</w:t>
            </w:r>
            <w:r>
              <w:rPr>
                <w:rFonts w:hint="eastAsia" w:eastAsiaTheme="minorEastAsia"/>
                <w:szCs w:val="21"/>
              </w:rPr>
              <w:t>F由</w:t>
            </w:r>
            <w:r>
              <w:rPr>
                <w:rFonts w:hint="eastAsia" w:eastAsiaTheme="minorEastAsia"/>
                <w:szCs w:val="21"/>
                <w:lang w:val="en-US" w:eastAsia="zh-CN"/>
              </w:rPr>
              <w:t>2</w:t>
            </w:r>
            <w:r>
              <w:rPr>
                <w:rFonts w:hint="eastAsia" w:eastAsiaTheme="minorEastAsia"/>
                <w:szCs w:val="21"/>
              </w:rPr>
              <w:t>区加压给水管网供水，接管处所需水压0.</w:t>
            </w:r>
            <w:r>
              <w:rPr>
                <w:rFonts w:hint="eastAsia" w:eastAsiaTheme="minorEastAsia"/>
                <w:szCs w:val="21"/>
                <w:lang w:val="en-US" w:eastAsia="zh-CN"/>
              </w:rPr>
              <w:t>72</w:t>
            </w:r>
            <w:r>
              <w:rPr>
                <w:rFonts w:hint="eastAsia" w:eastAsiaTheme="minorEastAsia"/>
                <w:szCs w:val="21"/>
              </w:rPr>
              <w:t>MPa</w:t>
            </w:r>
            <w:r>
              <w:rPr>
                <w:rFonts w:hint="eastAsia" w:eastAsiaTheme="minorEastAsia"/>
                <w:szCs w:val="21"/>
                <w:lang w:eastAsia="zh-CN"/>
              </w:rPr>
              <w:t>，</w:t>
            </w:r>
            <w:r>
              <w:rPr>
                <w:rFonts w:hint="eastAsia" w:eastAsiaTheme="minorEastAsia"/>
                <w:szCs w:val="21"/>
                <w:lang w:val="en-US" w:eastAsia="zh-CN"/>
              </w:rPr>
              <w:t>地下室给水</w:t>
            </w:r>
            <w:r>
              <w:rPr>
                <w:rFonts w:hint="eastAsia" w:eastAsiaTheme="minorEastAsia"/>
                <w:szCs w:val="21"/>
              </w:rPr>
              <w:t>泵房内</w:t>
            </w:r>
            <w:r>
              <w:rPr>
                <w:rFonts w:hint="eastAsia" w:eastAsiaTheme="minorEastAsia"/>
                <w:szCs w:val="21"/>
                <w:lang w:val="en-US" w:eastAsia="zh-CN"/>
              </w:rPr>
              <w:t>设置两套</w:t>
            </w:r>
            <w:r>
              <w:rPr>
                <w:rFonts w:hint="eastAsia" w:eastAsiaTheme="minorEastAsia"/>
                <w:szCs w:val="21"/>
              </w:rPr>
              <w:t>变频泵组加压供水，采用支管减压措施，阀后压力为0.20MPa。</w:t>
            </w:r>
          </w:p>
          <w:p w14:paraId="7836C180">
            <w:pPr>
              <w:spacing w:line="288" w:lineRule="auto"/>
              <w:ind w:firstLine="420" w:firstLineChars="200"/>
              <w:rPr>
                <w:rFonts w:eastAsiaTheme="minorEastAsia"/>
                <w:szCs w:val="21"/>
              </w:rPr>
            </w:pPr>
            <w:r>
              <w:rPr>
                <w:rFonts w:hint="eastAsia" w:eastAsiaTheme="minorEastAsia"/>
                <w:szCs w:val="21"/>
              </w:rPr>
              <w:t>排水系统：本项目室内生活污、废水合流排放，生活污水与废水分流排放，室外采用雨污</w:t>
            </w:r>
          </w:p>
          <w:p w14:paraId="6C87BBFA">
            <w:pPr>
              <w:spacing w:line="288" w:lineRule="auto"/>
              <w:ind w:firstLine="420" w:firstLineChars="200"/>
              <w:rPr>
                <w:rFonts w:eastAsiaTheme="minorEastAsia"/>
                <w:szCs w:val="21"/>
              </w:rPr>
            </w:pPr>
            <w:r>
              <w:rPr>
                <w:rFonts w:hint="eastAsia" w:eastAsiaTheme="minorEastAsia"/>
                <w:szCs w:val="21"/>
              </w:rPr>
              <w:t>分流、污废合流体制。污废水直接排至室外化粪池，室外污废水收集经化粪池处理后再排入市政污水管道，厨房废水经隔油池处理后再排入市政污水管道；室内地下车库冲洗废水汇集至地下室各集水坑, 由潜污泵提升至室外污水井；雨水经室外雨水检查井最终排至周边市政道路雨水管网面，雨水按重力、满流雨水排水系统设计，屋面雨水由87 型雨水斗、侧墙式雨水斗收集，经雨水立管排至室外雨水管道。</w:t>
            </w:r>
          </w:p>
          <w:p w14:paraId="2786CFD0">
            <w:pPr>
              <w:spacing w:line="288" w:lineRule="auto"/>
              <w:ind w:firstLine="420" w:firstLineChars="200"/>
              <w:rPr>
                <w:rFonts w:eastAsiaTheme="minorEastAsia"/>
                <w:szCs w:val="21"/>
              </w:rPr>
            </w:pPr>
            <w:r>
              <w:rPr>
                <w:rFonts w:hint="eastAsia" w:eastAsiaTheme="minorEastAsia"/>
                <w:szCs w:val="21"/>
              </w:rPr>
              <w:t>管材：合理选择供水的材质及管径，选用良好的卫生器具，控制其漏水量，选用性能好的</w:t>
            </w:r>
          </w:p>
          <w:p w14:paraId="0B351804">
            <w:pPr>
              <w:spacing w:line="288" w:lineRule="auto"/>
              <w:ind w:firstLine="420" w:firstLineChars="200"/>
              <w:rPr>
                <w:rFonts w:eastAsiaTheme="minorEastAsia"/>
                <w:szCs w:val="21"/>
              </w:rPr>
            </w:pPr>
            <w:r>
              <w:rPr>
                <w:rFonts w:hint="eastAsia" w:eastAsiaTheme="minorEastAsia"/>
                <w:szCs w:val="21"/>
              </w:rPr>
              <w:t>阀门，并在阀前增设软密封闭阀，合理设置检修阀门的位置。各用水部门采用计量收费,不</w:t>
            </w:r>
          </w:p>
          <w:p w14:paraId="791E5C78">
            <w:pPr>
              <w:spacing w:line="288" w:lineRule="auto"/>
              <w:ind w:firstLine="420" w:firstLineChars="200"/>
              <w:rPr>
                <w:rFonts w:eastAsiaTheme="minorEastAsia"/>
                <w:szCs w:val="21"/>
              </w:rPr>
            </w:pPr>
            <w:r>
              <w:rPr>
                <w:rFonts w:hint="eastAsia" w:eastAsiaTheme="minorEastAsia"/>
                <w:szCs w:val="21"/>
              </w:rPr>
              <w:t>同用途的用水单设水表，水表安装率达100%。</w:t>
            </w:r>
          </w:p>
          <w:p w14:paraId="22FAD2C6">
            <w:pPr>
              <w:spacing w:line="288" w:lineRule="auto"/>
              <w:ind w:firstLine="420" w:firstLineChars="200"/>
              <w:rPr>
                <w:rFonts w:eastAsiaTheme="minorEastAsia"/>
                <w:szCs w:val="21"/>
              </w:rPr>
            </w:pPr>
            <w:r>
              <w:rPr>
                <w:rFonts w:hint="eastAsia" w:eastAsiaTheme="minorEastAsia"/>
                <w:szCs w:val="21"/>
              </w:rPr>
              <w:t>节水器具：用较高用水效率等级的卫生器具，用水效率等级达到一级。坐便器采用设有大、小便分档的冲洗水箱（3L/4.5L）;蹲便器采用延时自闭式冲洗阀；小便器采用应在2S内自动止水的感应式冲洗阀,非正常供电电压下应自动断水,一次冲水量不大于2.0L；公共场所洗手盆采用充气式感应龙头、其它洗手盆采用节能水龙头最大流量不大于0.1L/S）; 校区内80%面积以上地下车库以及道路冲洗采用高压水枪.</w:t>
            </w:r>
          </w:p>
        </w:tc>
      </w:tr>
    </w:tbl>
    <w:p w14:paraId="60690D2F">
      <w:pPr>
        <w:numPr>
          <w:ilvl w:val="0"/>
          <w:numId w:val="1"/>
        </w:numPr>
        <w:spacing w:before="200" w:line="288" w:lineRule="auto"/>
        <w:rPr>
          <w:rFonts w:cs="宋体" w:eastAsiaTheme="minorEastAsia"/>
          <w:b/>
          <w:bCs/>
          <w:sz w:val="24"/>
          <w:lang w:val="zh-CN"/>
        </w:rPr>
      </w:pPr>
      <w:r>
        <w:rPr>
          <w:rFonts w:hint="eastAsia" w:cs="宋体" w:eastAsiaTheme="minorEastAsia"/>
          <w:b/>
          <w:bCs/>
          <w:sz w:val="24"/>
          <w:lang w:val="zh-CN"/>
        </w:rPr>
        <w:t>证明材料</w:t>
      </w:r>
    </w:p>
    <w:tbl>
      <w:tblPr>
        <w:tblStyle w:val="6"/>
        <w:tblW w:w="8379"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724"/>
        <w:gridCol w:w="1176"/>
        <w:gridCol w:w="4474"/>
        <w:gridCol w:w="1191"/>
        <w:gridCol w:w="851"/>
      </w:tblGrid>
      <w:tr w14:paraId="621F130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40" w:hRule="atLeast"/>
          <w:tblHeader/>
          <w:jc w:val="center"/>
        </w:trPr>
        <w:tc>
          <w:tcPr>
            <w:tcW w:w="724" w:type="dxa"/>
            <w:shd w:val="clear" w:color="DBE5F1" w:fill="DBE5F1"/>
            <w:noWrap/>
            <w:vAlign w:val="center"/>
          </w:tcPr>
          <w:p w14:paraId="62E4EBF0">
            <w:pPr>
              <w:widowControl/>
              <w:jc w:val="center"/>
              <w:rPr>
                <w:rFonts w:cs="宋体" w:eastAsiaTheme="minorEastAsia"/>
                <w:b/>
                <w:bCs/>
                <w:color w:val="000000"/>
                <w:kern w:val="0"/>
                <w:sz w:val="22"/>
                <w:szCs w:val="22"/>
              </w:rPr>
            </w:pPr>
            <w:r>
              <w:rPr>
                <w:rFonts w:hint="eastAsia" w:cs="宋体" w:eastAsiaTheme="minorEastAsia"/>
                <w:b/>
                <w:bCs/>
                <w:color w:val="000000"/>
                <w:kern w:val="0"/>
                <w:sz w:val="22"/>
                <w:szCs w:val="22"/>
              </w:rPr>
              <w:t>专业分类</w:t>
            </w:r>
          </w:p>
        </w:tc>
        <w:tc>
          <w:tcPr>
            <w:tcW w:w="1176" w:type="dxa"/>
            <w:shd w:val="clear" w:color="DBE5F1" w:fill="DBE5F1"/>
            <w:vAlign w:val="center"/>
          </w:tcPr>
          <w:p w14:paraId="61A35022">
            <w:pPr>
              <w:widowControl/>
              <w:jc w:val="center"/>
              <w:rPr>
                <w:rFonts w:cs="宋体" w:eastAsiaTheme="minorEastAsia"/>
                <w:b/>
                <w:bCs/>
                <w:color w:val="000000"/>
                <w:kern w:val="0"/>
                <w:sz w:val="22"/>
                <w:szCs w:val="22"/>
              </w:rPr>
            </w:pPr>
            <w:r>
              <w:rPr>
                <w:rFonts w:hint="eastAsia" w:cs="宋体" w:eastAsiaTheme="minorEastAsia"/>
                <w:b/>
                <w:bCs/>
                <w:color w:val="000000"/>
                <w:kern w:val="0"/>
                <w:sz w:val="22"/>
                <w:szCs w:val="22"/>
              </w:rPr>
              <w:t>材料名称</w:t>
            </w:r>
          </w:p>
        </w:tc>
        <w:tc>
          <w:tcPr>
            <w:tcW w:w="4474" w:type="dxa"/>
            <w:shd w:val="clear" w:color="DBE5F1" w:fill="DBE5F1"/>
            <w:vAlign w:val="center"/>
          </w:tcPr>
          <w:p w14:paraId="688D1105">
            <w:pPr>
              <w:widowControl/>
              <w:jc w:val="center"/>
              <w:rPr>
                <w:rFonts w:cs="宋体" w:eastAsiaTheme="minorEastAsia"/>
                <w:b/>
                <w:bCs/>
                <w:color w:val="000000"/>
                <w:kern w:val="0"/>
                <w:sz w:val="22"/>
                <w:szCs w:val="22"/>
              </w:rPr>
            </w:pPr>
            <w:r>
              <w:rPr>
                <w:rFonts w:hint="eastAsia" w:cs="宋体" w:eastAsiaTheme="minorEastAsia"/>
                <w:b/>
                <w:bCs/>
                <w:color w:val="000000"/>
                <w:kern w:val="0"/>
                <w:sz w:val="22"/>
                <w:szCs w:val="22"/>
              </w:rPr>
              <w:t>技术要求</w:t>
            </w:r>
          </w:p>
        </w:tc>
        <w:tc>
          <w:tcPr>
            <w:tcW w:w="1191" w:type="dxa"/>
            <w:shd w:val="clear" w:color="DBE5F1" w:fill="DBE5F1"/>
            <w:noWrap/>
            <w:vAlign w:val="center"/>
          </w:tcPr>
          <w:p w14:paraId="44EA862D">
            <w:pPr>
              <w:widowControl/>
              <w:jc w:val="center"/>
              <w:rPr>
                <w:rFonts w:cs="宋体" w:eastAsiaTheme="minorEastAsia"/>
                <w:b/>
                <w:bCs/>
                <w:color w:val="000000"/>
                <w:kern w:val="0"/>
                <w:sz w:val="22"/>
                <w:szCs w:val="22"/>
              </w:rPr>
            </w:pPr>
            <w:r>
              <w:rPr>
                <w:rFonts w:hint="eastAsia" w:cs="宋体" w:eastAsiaTheme="minorEastAsia"/>
                <w:b/>
                <w:bCs/>
                <w:color w:val="000000"/>
                <w:kern w:val="0"/>
                <w:sz w:val="22"/>
                <w:szCs w:val="22"/>
              </w:rPr>
              <w:t>评价阶段</w:t>
            </w:r>
          </w:p>
        </w:tc>
        <w:tc>
          <w:tcPr>
            <w:tcW w:w="851" w:type="dxa"/>
            <w:shd w:val="clear" w:color="DBE5F1" w:fill="DBE5F1"/>
            <w:noWrap/>
            <w:vAlign w:val="center"/>
          </w:tcPr>
          <w:p w14:paraId="27C5E32E">
            <w:pPr>
              <w:widowControl/>
              <w:jc w:val="center"/>
              <w:rPr>
                <w:rFonts w:cs="宋体" w:eastAsiaTheme="minorEastAsia"/>
                <w:b/>
                <w:bCs/>
                <w:color w:val="000000"/>
                <w:kern w:val="0"/>
                <w:sz w:val="22"/>
                <w:szCs w:val="22"/>
              </w:rPr>
            </w:pPr>
            <w:r>
              <w:rPr>
                <w:rFonts w:hint="eastAsia" w:cs="宋体" w:eastAsiaTheme="minorEastAsia"/>
                <w:b/>
                <w:bCs/>
                <w:color w:val="000000"/>
                <w:kern w:val="0"/>
                <w:sz w:val="22"/>
                <w:szCs w:val="22"/>
              </w:rPr>
              <w:t>建筑类型</w:t>
            </w:r>
          </w:p>
        </w:tc>
      </w:tr>
      <w:tr w14:paraId="0BE6A4F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jc w:val="center"/>
        </w:trPr>
        <w:tc>
          <w:tcPr>
            <w:tcW w:w="724" w:type="dxa"/>
            <w:vMerge w:val="restart"/>
            <w:tcBorders>
              <w:top w:val="single" w:color="auto" w:sz="4" w:space="0"/>
              <w:left w:val="single" w:color="auto" w:sz="4" w:space="0"/>
              <w:right w:val="single" w:color="auto" w:sz="6" w:space="0"/>
            </w:tcBorders>
            <w:shd w:val="clear" w:color="auto" w:fill="auto"/>
            <w:noWrap/>
            <w:vAlign w:val="center"/>
          </w:tcPr>
          <w:p w14:paraId="5EB05C13">
            <w:pPr>
              <w:widowControl/>
              <w:jc w:val="left"/>
              <w:rPr>
                <w:rFonts w:cs="宋体" w:eastAsiaTheme="minorEastAsia"/>
                <w:b/>
                <w:bCs/>
                <w:color w:val="000000"/>
                <w:kern w:val="0"/>
                <w:sz w:val="22"/>
                <w:szCs w:val="22"/>
              </w:rPr>
            </w:pPr>
            <w:r>
              <w:rPr>
                <w:rFonts w:hint="eastAsia" w:cs="宋体" w:eastAsiaTheme="minorEastAsia"/>
                <w:b/>
                <w:bCs/>
                <w:color w:val="000000"/>
                <w:kern w:val="0"/>
                <w:sz w:val="22"/>
                <w:szCs w:val="22"/>
              </w:rPr>
              <w:t>给排水设计</w:t>
            </w:r>
          </w:p>
        </w:tc>
        <w:tc>
          <w:tcPr>
            <w:tcW w:w="1176" w:type="dxa"/>
            <w:tcBorders>
              <w:top w:val="single" w:color="auto" w:sz="4" w:space="0"/>
              <w:left w:val="single" w:color="auto" w:sz="6" w:space="0"/>
              <w:bottom w:val="single" w:color="auto" w:sz="6" w:space="0"/>
              <w:right w:val="single" w:color="auto" w:sz="6" w:space="0"/>
            </w:tcBorders>
            <w:shd w:val="clear" w:color="auto" w:fill="auto"/>
            <w:noWrap/>
            <w:vAlign w:val="center"/>
          </w:tcPr>
          <w:p w14:paraId="22F40B87">
            <w:pPr>
              <w:widowControl/>
              <w:jc w:val="left"/>
              <w:rPr>
                <w:rFonts w:cs="宋体" w:eastAsiaTheme="minorEastAsia"/>
                <w:b/>
                <w:bCs/>
                <w:color w:val="000000"/>
                <w:kern w:val="0"/>
                <w:sz w:val="22"/>
                <w:szCs w:val="22"/>
              </w:rPr>
            </w:pPr>
            <w:r>
              <w:rPr>
                <w:rFonts w:hint="eastAsia" w:cs="宋体" w:eastAsiaTheme="minorEastAsia"/>
                <w:b/>
                <w:bCs/>
                <w:color w:val="000000"/>
                <w:kern w:val="0"/>
                <w:sz w:val="22"/>
                <w:szCs w:val="22"/>
              </w:rPr>
              <w:t>水资源利用方案</w:t>
            </w:r>
          </w:p>
        </w:tc>
        <w:tc>
          <w:tcPr>
            <w:tcW w:w="4474" w:type="dxa"/>
            <w:tcBorders>
              <w:top w:val="single" w:color="auto" w:sz="4" w:space="0"/>
              <w:left w:val="single" w:color="auto" w:sz="6" w:space="0"/>
              <w:bottom w:val="single" w:color="auto" w:sz="6" w:space="0"/>
              <w:right w:val="single" w:color="auto" w:sz="6" w:space="0"/>
            </w:tcBorders>
            <w:shd w:val="clear" w:color="auto" w:fill="auto"/>
            <w:noWrap/>
            <w:vAlign w:val="center"/>
          </w:tcPr>
          <w:p w14:paraId="77A6F78F">
            <w:pPr>
              <w:widowControl/>
              <w:rPr>
                <w:rFonts w:cs="宋体" w:eastAsiaTheme="minorEastAsia"/>
                <w:color w:val="000000"/>
                <w:kern w:val="0"/>
                <w:sz w:val="20"/>
                <w:szCs w:val="20"/>
              </w:rPr>
            </w:pPr>
            <w:r>
              <w:rPr>
                <w:rFonts w:hint="eastAsia" w:cs="宋体" w:eastAsiaTheme="minorEastAsia"/>
                <w:color w:val="000000"/>
                <w:kern w:val="0"/>
                <w:sz w:val="20"/>
                <w:szCs w:val="20"/>
              </w:rPr>
              <w:t>应包括当地节水要求及水资源状况、市政设施情况、项目概况、用水定额的确定、用水量估算及水量平衡、给排水系统设计方案、节水器具、非传统水源利用、运行阶段还应包括设计阶段与运行阶段水资源利用差异分析说明等相关内容</w:t>
            </w:r>
          </w:p>
        </w:tc>
        <w:tc>
          <w:tcPr>
            <w:tcW w:w="1191" w:type="dxa"/>
            <w:tcBorders>
              <w:top w:val="single" w:color="auto" w:sz="4" w:space="0"/>
              <w:left w:val="single" w:color="auto" w:sz="6" w:space="0"/>
              <w:bottom w:val="single" w:color="auto" w:sz="6" w:space="0"/>
              <w:right w:val="single" w:color="auto" w:sz="6" w:space="0"/>
            </w:tcBorders>
            <w:shd w:val="clear" w:color="auto" w:fill="auto"/>
            <w:noWrap/>
            <w:vAlign w:val="center"/>
          </w:tcPr>
          <w:p w14:paraId="57AE288E">
            <w:pPr>
              <w:widowControl/>
              <w:jc w:val="center"/>
              <w:rPr>
                <w:rFonts w:cs="宋体" w:eastAsiaTheme="minorEastAsia"/>
                <w:color w:val="000000"/>
                <w:kern w:val="0"/>
                <w:sz w:val="22"/>
                <w:szCs w:val="22"/>
              </w:rPr>
            </w:pPr>
            <w:r>
              <w:rPr>
                <w:rFonts w:hint="eastAsia" w:cs="宋体" w:eastAsiaTheme="minorEastAsia"/>
                <w:color w:val="000000"/>
                <w:kern w:val="0"/>
                <w:sz w:val="22"/>
                <w:szCs w:val="22"/>
              </w:rPr>
              <w:t>预评价/</w:t>
            </w:r>
          </w:p>
          <w:p w14:paraId="5A2FA449">
            <w:pPr>
              <w:widowControl/>
              <w:jc w:val="center"/>
              <w:rPr>
                <w:rFonts w:cs="宋体" w:eastAsiaTheme="minorEastAsia"/>
                <w:color w:val="000000"/>
                <w:kern w:val="0"/>
                <w:sz w:val="22"/>
                <w:szCs w:val="22"/>
              </w:rPr>
            </w:pPr>
            <w:r>
              <w:rPr>
                <w:rFonts w:hint="eastAsia" w:cs="宋体" w:eastAsiaTheme="minorEastAsia"/>
                <w:color w:val="000000"/>
                <w:kern w:val="0"/>
                <w:sz w:val="22"/>
                <w:szCs w:val="22"/>
              </w:rPr>
              <w:t>评价</w:t>
            </w:r>
          </w:p>
        </w:tc>
        <w:tc>
          <w:tcPr>
            <w:tcW w:w="851" w:type="dxa"/>
            <w:tcBorders>
              <w:top w:val="single" w:color="auto" w:sz="4" w:space="0"/>
              <w:left w:val="single" w:color="auto" w:sz="6" w:space="0"/>
              <w:bottom w:val="single" w:color="auto" w:sz="6" w:space="0"/>
              <w:right w:val="single" w:color="auto" w:sz="4" w:space="0"/>
            </w:tcBorders>
            <w:shd w:val="clear" w:color="auto" w:fill="auto"/>
            <w:noWrap/>
            <w:vAlign w:val="center"/>
          </w:tcPr>
          <w:p w14:paraId="79B9A86D">
            <w:pPr>
              <w:widowControl/>
              <w:jc w:val="left"/>
              <w:rPr>
                <w:rFonts w:cs="宋体" w:eastAsiaTheme="minorEastAsia"/>
                <w:color w:val="000000"/>
                <w:kern w:val="0"/>
                <w:sz w:val="22"/>
                <w:szCs w:val="22"/>
              </w:rPr>
            </w:pPr>
            <w:r>
              <w:rPr>
                <w:rFonts w:hint="eastAsia" w:cs="宋体" w:eastAsiaTheme="minorEastAsia"/>
                <w:color w:val="000000"/>
                <w:kern w:val="0"/>
                <w:sz w:val="22"/>
                <w:szCs w:val="22"/>
              </w:rPr>
              <w:t>居建/公建</w:t>
            </w:r>
          </w:p>
        </w:tc>
      </w:tr>
      <w:tr w14:paraId="2B31E36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jc w:val="center"/>
        </w:trPr>
        <w:tc>
          <w:tcPr>
            <w:tcW w:w="724" w:type="dxa"/>
            <w:vMerge w:val="continue"/>
            <w:tcBorders>
              <w:left w:val="single" w:color="auto" w:sz="4" w:space="0"/>
              <w:right w:val="single" w:color="auto" w:sz="6" w:space="0"/>
            </w:tcBorders>
            <w:shd w:val="clear" w:color="auto" w:fill="auto"/>
            <w:noWrap/>
            <w:vAlign w:val="center"/>
          </w:tcPr>
          <w:p w14:paraId="05F051F7">
            <w:pPr>
              <w:widowControl/>
              <w:jc w:val="left"/>
              <w:rPr>
                <w:rFonts w:cs="宋体" w:eastAsiaTheme="minorEastAsia"/>
                <w:b/>
                <w:bCs/>
                <w:color w:val="000000"/>
                <w:kern w:val="0"/>
                <w:sz w:val="22"/>
                <w:szCs w:val="22"/>
              </w:rPr>
            </w:pPr>
          </w:p>
        </w:tc>
        <w:tc>
          <w:tcPr>
            <w:tcW w:w="1176" w:type="dxa"/>
            <w:tcBorders>
              <w:top w:val="single" w:color="auto" w:sz="6" w:space="0"/>
              <w:left w:val="single" w:color="auto" w:sz="6" w:space="0"/>
              <w:bottom w:val="single" w:color="auto" w:sz="6" w:space="0"/>
              <w:right w:val="single" w:color="auto" w:sz="6" w:space="0"/>
            </w:tcBorders>
            <w:shd w:val="clear" w:color="auto" w:fill="auto"/>
            <w:noWrap/>
            <w:vAlign w:val="center"/>
          </w:tcPr>
          <w:p w14:paraId="2CA21603">
            <w:pPr>
              <w:widowControl/>
              <w:jc w:val="left"/>
              <w:rPr>
                <w:rFonts w:cs="宋体" w:eastAsiaTheme="minorEastAsia"/>
                <w:b/>
                <w:bCs/>
                <w:color w:val="000000"/>
                <w:kern w:val="0"/>
                <w:sz w:val="22"/>
                <w:szCs w:val="22"/>
              </w:rPr>
            </w:pPr>
            <w:r>
              <w:rPr>
                <w:rFonts w:hint="eastAsia" w:cs="宋体" w:eastAsiaTheme="minorEastAsia"/>
                <w:b/>
                <w:bCs/>
                <w:color w:val="000000"/>
                <w:kern w:val="0"/>
                <w:sz w:val="22"/>
                <w:szCs w:val="22"/>
              </w:rPr>
              <w:t>水资源利用方案涉及的全套设计/竣工图</w:t>
            </w:r>
          </w:p>
        </w:tc>
        <w:tc>
          <w:tcPr>
            <w:tcW w:w="4474" w:type="dxa"/>
            <w:tcBorders>
              <w:top w:val="single" w:color="auto" w:sz="6" w:space="0"/>
              <w:left w:val="single" w:color="auto" w:sz="6" w:space="0"/>
              <w:bottom w:val="single" w:color="auto" w:sz="6" w:space="0"/>
              <w:right w:val="single" w:color="auto" w:sz="6" w:space="0"/>
            </w:tcBorders>
            <w:shd w:val="clear" w:color="auto" w:fill="auto"/>
            <w:noWrap/>
            <w:vAlign w:val="center"/>
          </w:tcPr>
          <w:p w14:paraId="58177954">
            <w:pPr>
              <w:widowControl/>
              <w:rPr>
                <w:rFonts w:cs="宋体" w:eastAsiaTheme="minorEastAsia"/>
                <w:color w:val="000000"/>
                <w:kern w:val="0"/>
                <w:sz w:val="20"/>
                <w:szCs w:val="20"/>
              </w:rPr>
            </w:pPr>
            <w:r>
              <w:rPr>
                <w:rFonts w:hint="eastAsia" w:cs="宋体" w:eastAsiaTheme="minorEastAsia"/>
                <w:color w:val="000000"/>
                <w:kern w:val="0"/>
                <w:sz w:val="20"/>
                <w:szCs w:val="20"/>
              </w:rPr>
              <w:t>应包括给水排设计说明、给排水系统设计图、给排水平面设计图、给排水设计详图等</w:t>
            </w:r>
          </w:p>
        </w:tc>
        <w:tc>
          <w:tcPr>
            <w:tcW w:w="1191" w:type="dxa"/>
            <w:tcBorders>
              <w:top w:val="single" w:color="auto" w:sz="6" w:space="0"/>
              <w:left w:val="single" w:color="auto" w:sz="6" w:space="0"/>
              <w:bottom w:val="single" w:color="auto" w:sz="6" w:space="0"/>
              <w:right w:val="single" w:color="auto" w:sz="6" w:space="0"/>
            </w:tcBorders>
            <w:shd w:val="clear" w:color="auto" w:fill="auto"/>
            <w:noWrap/>
            <w:vAlign w:val="center"/>
          </w:tcPr>
          <w:p w14:paraId="0B92A309">
            <w:pPr>
              <w:widowControl/>
              <w:jc w:val="center"/>
              <w:rPr>
                <w:rFonts w:cs="宋体" w:eastAsiaTheme="minorEastAsia"/>
                <w:color w:val="000000"/>
                <w:kern w:val="0"/>
                <w:sz w:val="22"/>
                <w:szCs w:val="22"/>
              </w:rPr>
            </w:pPr>
            <w:r>
              <w:rPr>
                <w:rFonts w:hint="eastAsia" w:cs="宋体" w:eastAsiaTheme="minorEastAsia"/>
                <w:color w:val="000000"/>
                <w:kern w:val="0"/>
                <w:sz w:val="22"/>
                <w:szCs w:val="22"/>
              </w:rPr>
              <w:t>预评价/</w:t>
            </w:r>
          </w:p>
          <w:p w14:paraId="1B5F4D77">
            <w:pPr>
              <w:widowControl/>
              <w:jc w:val="center"/>
              <w:rPr>
                <w:rFonts w:cs="宋体" w:eastAsiaTheme="minorEastAsia"/>
                <w:color w:val="000000"/>
                <w:kern w:val="0"/>
                <w:sz w:val="22"/>
                <w:szCs w:val="22"/>
              </w:rPr>
            </w:pPr>
            <w:r>
              <w:rPr>
                <w:rFonts w:hint="eastAsia" w:cs="宋体" w:eastAsiaTheme="minorEastAsia"/>
                <w:color w:val="000000"/>
                <w:kern w:val="0"/>
                <w:sz w:val="22"/>
                <w:szCs w:val="22"/>
              </w:rPr>
              <w:t>评价</w:t>
            </w:r>
          </w:p>
        </w:tc>
        <w:tc>
          <w:tcPr>
            <w:tcW w:w="851" w:type="dxa"/>
            <w:tcBorders>
              <w:top w:val="single" w:color="auto" w:sz="6" w:space="0"/>
              <w:left w:val="single" w:color="auto" w:sz="6" w:space="0"/>
              <w:bottom w:val="single" w:color="auto" w:sz="6" w:space="0"/>
              <w:right w:val="single" w:color="auto" w:sz="4" w:space="0"/>
            </w:tcBorders>
            <w:shd w:val="clear" w:color="auto" w:fill="auto"/>
            <w:noWrap/>
            <w:vAlign w:val="center"/>
          </w:tcPr>
          <w:p w14:paraId="7963D5BD">
            <w:pPr>
              <w:widowControl/>
              <w:jc w:val="left"/>
              <w:rPr>
                <w:rFonts w:cs="宋体" w:eastAsiaTheme="minorEastAsia"/>
                <w:color w:val="000000"/>
                <w:kern w:val="0"/>
                <w:sz w:val="22"/>
                <w:szCs w:val="22"/>
              </w:rPr>
            </w:pPr>
            <w:r>
              <w:rPr>
                <w:rFonts w:hint="eastAsia" w:cs="宋体" w:eastAsiaTheme="minorEastAsia"/>
                <w:color w:val="000000"/>
                <w:kern w:val="0"/>
                <w:sz w:val="22"/>
                <w:szCs w:val="22"/>
              </w:rPr>
              <w:t>居建/公建</w:t>
            </w:r>
          </w:p>
        </w:tc>
      </w:tr>
      <w:tr w14:paraId="7F74D4B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jc w:val="center"/>
        </w:trPr>
        <w:tc>
          <w:tcPr>
            <w:tcW w:w="724" w:type="dxa"/>
            <w:vMerge w:val="continue"/>
            <w:tcBorders>
              <w:left w:val="single" w:color="auto" w:sz="4" w:space="0"/>
              <w:bottom w:val="single" w:color="auto" w:sz="6" w:space="0"/>
              <w:right w:val="single" w:color="auto" w:sz="6" w:space="0"/>
            </w:tcBorders>
            <w:shd w:val="clear" w:color="auto" w:fill="auto"/>
            <w:noWrap/>
            <w:vAlign w:val="center"/>
          </w:tcPr>
          <w:p w14:paraId="609D83F8">
            <w:pPr>
              <w:widowControl/>
              <w:jc w:val="left"/>
              <w:rPr>
                <w:rFonts w:cs="宋体" w:eastAsiaTheme="minorEastAsia"/>
                <w:b/>
                <w:bCs/>
                <w:color w:val="000000"/>
                <w:kern w:val="0"/>
                <w:sz w:val="22"/>
                <w:szCs w:val="22"/>
              </w:rPr>
            </w:pPr>
          </w:p>
        </w:tc>
        <w:tc>
          <w:tcPr>
            <w:tcW w:w="1176" w:type="dxa"/>
            <w:tcBorders>
              <w:top w:val="single" w:color="auto" w:sz="6" w:space="0"/>
              <w:left w:val="single" w:color="auto" w:sz="6" w:space="0"/>
              <w:bottom w:val="single" w:color="auto" w:sz="6" w:space="0"/>
              <w:right w:val="single" w:color="auto" w:sz="6" w:space="0"/>
            </w:tcBorders>
            <w:shd w:val="clear" w:color="auto" w:fill="auto"/>
            <w:noWrap/>
            <w:vAlign w:val="center"/>
          </w:tcPr>
          <w:p w14:paraId="495080C2">
            <w:pPr>
              <w:widowControl/>
              <w:jc w:val="left"/>
              <w:rPr>
                <w:rFonts w:cs="宋体" w:eastAsiaTheme="minorEastAsia"/>
                <w:b/>
                <w:bCs/>
                <w:color w:val="000000"/>
                <w:kern w:val="0"/>
                <w:sz w:val="22"/>
                <w:szCs w:val="22"/>
              </w:rPr>
            </w:pPr>
            <w:r>
              <w:rPr>
                <w:rFonts w:hint="eastAsia" w:cs="宋体" w:eastAsiaTheme="minorEastAsia"/>
                <w:b/>
                <w:bCs/>
                <w:color w:val="000000"/>
                <w:kern w:val="0"/>
                <w:sz w:val="22"/>
                <w:szCs w:val="22"/>
              </w:rPr>
              <w:t>非传统水源利用率计算书</w:t>
            </w:r>
          </w:p>
        </w:tc>
        <w:tc>
          <w:tcPr>
            <w:tcW w:w="4474" w:type="dxa"/>
            <w:tcBorders>
              <w:top w:val="single" w:color="auto" w:sz="6" w:space="0"/>
              <w:left w:val="single" w:color="auto" w:sz="6" w:space="0"/>
              <w:bottom w:val="single" w:color="auto" w:sz="6" w:space="0"/>
              <w:right w:val="single" w:color="auto" w:sz="6" w:space="0"/>
            </w:tcBorders>
            <w:shd w:val="clear" w:color="auto" w:fill="auto"/>
            <w:noWrap/>
            <w:vAlign w:val="center"/>
          </w:tcPr>
          <w:p w14:paraId="2117C074">
            <w:pPr>
              <w:widowControl/>
              <w:rPr>
                <w:rFonts w:cs="宋体" w:eastAsiaTheme="minorEastAsia"/>
                <w:color w:val="000000"/>
                <w:kern w:val="0"/>
                <w:sz w:val="20"/>
                <w:szCs w:val="20"/>
              </w:rPr>
            </w:pPr>
            <w:r>
              <w:rPr>
                <w:rFonts w:hint="eastAsia" w:cs="宋体" w:eastAsiaTheme="minorEastAsia"/>
                <w:color w:val="000000"/>
                <w:kern w:val="0"/>
                <w:sz w:val="20"/>
                <w:szCs w:val="20"/>
              </w:rPr>
              <w:t>应包括项目各用水部门设计需用水量、设计非传统水源利用量、非传统水源可利用量、非传统水源利用率计算，运行阶段还应包括设计阶段与运行阶段水资源利用差异分析说明等相关内容</w:t>
            </w:r>
          </w:p>
        </w:tc>
        <w:tc>
          <w:tcPr>
            <w:tcW w:w="1191" w:type="dxa"/>
            <w:tcBorders>
              <w:top w:val="single" w:color="auto" w:sz="6" w:space="0"/>
              <w:left w:val="single" w:color="auto" w:sz="6" w:space="0"/>
              <w:bottom w:val="single" w:color="auto" w:sz="6" w:space="0"/>
              <w:right w:val="single" w:color="auto" w:sz="6" w:space="0"/>
            </w:tcBorders>
            <w:shd w:val="clear" w:color="auto" w:fill="auto"/>
            <w:noWrap/>
            <w:vAlign w:val="center"/>
          </w:tcPr>
          <w:p w14:paraId="2D98D4FE">
            <w:pPr>
              <w:widowControl/>
              <w:jc w:val="center"/>
              <w:rPr>
                <w:rFonts w:cs="宋体" w:eastAsiaTheme="minorEastAsia"/>
                <w:color w:val="000000"/>
                <w:kern w:val="0"/>
                <w:sz w:val="22"/>
                <w:szCs w:val="22"/>
              </w:rPr>
            </w:pPr>
            <w:r>
              <w:rPr>
                <w:rFonts w:hint="eastAsia" w:cs="宋体" w:eastAsiaTheme="minorEastAsia"/>
                <w:color w:val="000000"/>
                <w:kern w:val="0"/>
                <w:sz w:val="22"/>
                <w:szCs w:val="22"/>
              </w:rPr>
              <w:t>预评价/</w:t>
            </w:r>
          </w:p>
          <w:p w14:paraId="036BFEF5">
            <w:pPr>
              <w:widowControl/>
              <w:jc w:val="center"/>
              <w:rPr>
                <w:rFonts w:cs="宋体" w:eastAsiaTheme="minorEastAsia"/>
                <w:color w:val="000000"/>
                <w:kern w:val="0"/>
                <w:sz w:val="22"/>
                <w:szCs w:val="22"/>
              </w:rPr>
            </w:pPr>
            <w:r>
              <w:rPr>
                <w:rFonts w:hint="eastAsia" w:cs="宋体" w:eastAsiaTheme="minorEastAsia"/>
                <w:color w:val="000000"/>
                <w:kern w:val="0"/>
                <w:sz w:val="22"/>
                <w:szCs w:val="22"/>
              </w:rPr>
              <w:t>评价</w:t>
            </w:r>
          </w:p>
        </w:tc>
        <w:tc>
          <w:tcPr>
            <w:tcW w:w="851" w:type="dxa"/>
            <w:tcBorders>
              <w:top w:val="single" w:color="auto" w:sz="6" w:space="0"/>
              <w:left w:val="single" w:color="auto" w:sz="6" w:space="0"/>
              <w:bottom w:val="single" w:color="auto" w:sz="6" w:space="0"/>
              <w:right w:val="single" w:color="auto" w:sz="4" w:space="0"/>
            </w:tcBorders>
            <w:shd w:val="clear" w:color="auto" w:fill="auto"/>
            <w:noWrap/>
            <w:vAlign w:val="center"/>
          </w:tcPr>
          <w:p w14:paraId="5193BB5E">
            <w:pPr>
              <w:widowControl/>
              <w:jc w:val="left"/>
              <w:rPr>
                <w:rFonts w:cs="宋体" w:eastAsiaTheme="minorEastAsia"/>
                <w:color w:val="000000"/>
                <w:kern w:val="0"/>
                <w:sz w:val="22"/>
                <w:szCs w:val="22"/>
              </w:rPr>
            </w:pPr>
            <w:r>
              <w:rPr>
                <w:rFonts w:hint="eastAsia" w:cs="宋体" w:eastAsiaTheme="minorEastAsia"/>
                <w:color w:val="000000"/>
                <w:kern w:val="0"/>
                <w:sz w:val="22"/>
                <w:szCs w:val="22"/>
              </w:rPr>
              <w:t>居建/公建</w:t>
            </w:r>
          </w:p>
        </w:tc>
      </w:tr>
      <w:tr w14:paraId="71F3FA6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jc w:val="center"/>
        </w:trPr>
        <w:tc>
          <w:tcPr>
            <w:tcW w:w="724" w:type="dxa"/>
            <w:tcBorders>
              <w:top w:val="single" w:color="auto" w:sz="6" w:space="0"/>
              <w:left w:val="single" w:color="auto" w:sz="4" w:space="0"/>
              <w:bottom w:val="single" w:color="auto" w:sz="4" w:space="0"/>
              <w:right w:val="single" w:color="auto" w:sz="6" w:space="0"/>
            </w:tcBorders>
            <w:shd w:val="clear" w:color="auto" w:fill="auto"/>
            <w:noWrap/>
            <w:vAlign w:val="center"/>
          </w:tcPr>
          <w:p w14:paraId="24C252AA">
            <w:pPr>
              <w:widowControl/>
              <w:jc w:val="left"/>
              <w:rPr>
                <w:rFonts w:cs="宋体" w:eastAsiaTheme="minorEastAsia"/>
                <w:b/>
                <w:bCs/>
                <w:color w:val="000000"/>
                <w:kern w:val="0"/>
                <w:sz w:val="22"/>
                <w:szCs w:val="22"/>
              </w:rPr>
            </w:pPr>
            <w:r>
              <w:rPr>
                <w:rFonts w:hint="eastAsia" w:cs="宋体" w:eastAsiaTheme="minorEastAsia"/>
                <w:b/>
                <w:bCs/>
                <w:color w:val="000000"/>
                <w:kern w:val="0"/>
                <w:sz w:val="22"/>
                <w:szCs w:val="22"/>
              </w:rPr>
              <w:t>其他材料</w:t>
            </w:r>
          </w:p>
        </w:tc>
        <w:tc>
          <w:tcPr>
            <w:tcW w:w="1176" w:type="dxa"/>
            <w:tcBorders>
              <w:top w:val="single" w:color="auto" w:sz="6" w:space="0"/>
              <w:left w:val="single" w:color="auto" w:sz="6" w:space="0"/>
              <w:bottom w:val="single" w:color="auto" w:sz="4" w:space="0"/>
              <w:right w:val="single" w:color="auto" w:sz="6" w:space="0"/>
            </w:tcBorders>
            <w:shd w:val="clear" w:color="auto" w:fill="auto"/>
            <w:noWrap/>
            <w:vAlign w:val="center"/>
          </w:tcPr>
          <w:p w14:paraId="66F02F1F">
            <w:pPr>
              <w:widowControl/>
              <w:jc w:val="left"/>
              <w:rPr>
                <w:rFonts w:cs="宋体" w:eastAsiaTheme="minorEastAsia"/>
                <w:b/>
                <w:bCs/>
                <w:color w:val="000000"/>
                <w:kern w:val="0"/>
                <w:sz w:val="22"/>
                <w:szCs w:val="22"/>
              </w:rPr>
            </w:pPr>
            <w:r>
              <w:rPr>
                <w:rFonts w:hint="eastAsia" w:cs="宋体" w:eastAsiaTheme="minorEastAsia"/>
                <w:b/>
                <w:bCs/>
                <w:color w:val="000000"/>
                <w:kern w:val="0"/>
                <w:sz w:val="22"/>
                <w:szCs w:val="22"/>
              </w:rPr>
              <w:t>用水量记录报告</w:t>
            </w:r>
          </w:p>
        </w:tc>
        <w:tc>
          <w:tcPr>
            <w:tcW w:w="4474" w:type="dxa"/>
            <w:tcBorders>
              <w:top w:val="single" w:color="auto" w:sz="6" w:space="0"/>
              <w:left w:val="single" w:color="auto" w:sz="6" w:space="0"/>
              <w:bottom w:val="single" w:color="auto" w:sz="4" w:space="0"/>
              <w:right w:val="single" w:color="auto" w:sz="6" w:space="0"/>
            </w:tcBorders>
            <w:shd w:val="clear" w:color="auto" w:fill="auto"/>
            <w:noWrap/>
            <w:vAlign w:val="center"/>
          </w:tcPr>
          <w:p w14:paraId="21C9652C">
            <w:pPr>
              <w:widowControl/>
              <w:rPr>
                <w:rFonts w:cs="宋体" w:eastAsiaTheme="minorEastAsia"/>
                <w:color w:val="000000"/>
                <w:kern w:val="0"/>
                <w:sz w:val="20"/>
                <w:szCs w:val="20"/>
              </w:rPr>
            </w:pPr>
            <w:r>
              <w:rPr>
                <w:rFonts w:hint="eastAsia" w:cs="宋体" w:eastAsiaTheme="minorEastAsia"/>
                <w:color w:val="000000"/>
                <w:kern w:val="0"/>
                <w:sz w:val="20"/>
                <w:szCs w:val="20"/>
              </w:rPr>
              <w:t>应包括项目运行期间各用水部门全年逐月用水量记录、非传统水源用水量记录（指标要求与自评一致）</w:t>
            </w:r>
          </w:p>
        </w:tc>
        <w:tc>
          <w:tcPr>
            <w:tcW w:w="1191" w:type="dxa"/>
            <w:tcBorders>
              <w:top w:val="single" w:color="auto" w:sz="6" w:space="0"/>
              <w:left w:val="single" w:color="auto" w:sz="6" w:space="0"/>
              <w:bottom w:val="single" w:color="auto" w:sz="4" w:space="0"/>
              <w:right w:val="single" w:color="auto" w:sz="6" w:space="0"/>
            </w:tcBorders>
            <w:shd w:val="clear" w:color="auto" w:fill="auto"/>
            <w:noWrap/>
            <w:vAlign w:val="center"/>
          </w:tcPr>
          <w:p w14:paraId="296BB4AD">
            <w:pPr>
              <w:widowControl/>
              <w:jc w:val="center"/>
              <w:rPr>
                <w:rFonts w:cs="宋体" w:eastAsiaTheme="minorEastAsia"/>
                <w:color w:val="000000"/>
                <w:kern w:val="0"/>
                <w:sz w:val="22"/>
                <w:szCs w:val="22"/>
              </w:rPr>
            </w:pPr>
            <w:r>
              <w:rPr>
                <w:rFonts w:hint="eastAsia" w:cs="宋体" w:eastAsiaTheme="minorEastAsia"/>
                <w:color w:val="000000"/>
                <w:kern w:val="0"/>
                <w:sz w:val="22"/>
                <w:szCs w:val="22"/>
              </w:rPr>
              <w:t>运行评价</w:t>
            </w:r>
          </w:p>
        </w:tc>
        <w:tc>
          <w:tcPr>
            <w:tcW w:w="851" w:type="dxa"/>
            <w:tcBorders>
              <w:top w:val="single" w:color="auto" w:sz="6" w:space="0"/>
              <w:left w:val="single" w:color="auto" w:sz="6" w:space="0"/>
              <w:bottom w:val="single" w:color="auto" w:sz="4" w:space="0"/>
              <w:right w:val="single" w:color="auto" w:sz="4" w:space="0"/>
            </w:tcBorders>
            <w:shd w:val="clear" w:color="auto" w:fill="auto"/>
            <w:noWrap/>
            <w:vAlign w:val="center"/>
          </w:tcPr>
          <w:p w14:paraId="3B4599BC">
            <w:pPr>
              <w:widowControl/>
              <w:jc w:val="left"/>
              <w:rPr>
                <w:rFonts w:cs="宋体" w:eastAsiaTheme="minorEastAsia"/>
                <w:color w:val="000000"/>
                <w:kern w:val="0"/>
                <w:sz w:val="22"/>
                <w:szCs w:val="22"/>
              </w:rPr>
            </w:pPr>
            <w:r>
              <w:rPr>
                <w:rFonts w:hint="eastAsia" w:cs="宋体" w:eastAsiaTheme="minorEastAsia"/>
                <w:color w:val="000000"/>
                <w:kern w:val="0"/>
                <w:sz w:val="22"/>
                <w:szCs w:val="22"/>
              </w:rPr>
              <w:t>居建/公建</w:t>
            </w:r>
          </w:p>
        </w:tc>
      </w:tr>
    </w:tbl>
    <w:p w14:paraId="3500907C">
      <w:pPr>
        <w:spacing w:before="200"/>
        <w:rPr>
          <w:b/>
          <w:szCs w:val="21"/>
        </w:rPr>
      </w:pPr>
      <w:r>
        <w:rPr>
          <w:b/>
          <w:szCs w:val="21"/>
        </w:rPr>
        <w:t>实际提交材料：</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5547E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4" w:hRule="atLeast"/>
          <w:jc w:val="center"/>
        </w:trPr>
        <w:tc>
          <w:tcPr>
            <w:tcW w:w="9356" w:type="dxa"/>
          </w:tcPr>
          <w:p w14:paraId="14E09079">
            <w:pPr>
              <w:rPr>
                <w:rFonts w:hint="eastAsia" w:eastAsiaTheme="minorEastAsia"/>
                <w:kern w:val="0"/>
                <w:sz w:val="20"/>
                <w:szCs w:val="21"/>
                <w:lang w:eastAsia="zh-CN"/>
              </w:rPr>
            </w:pPr>
            <w:bookmarkStart w:id="0" w:name="_GoBack"/>
            <w:bookmarkEnd w:id="0"/>
          </w:p>
        </w:tc>
      </w:tr>
    </w:tbl>
    <w:p w14:paraId="39F3B40B">
      <w:pPr>
        <w:rPr>
          <w:rFonts w:eastAsiaTheme="minorEastAsia"/>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Wingdings 2">
    <w:altName w:val="Wingdings"/>
    <w:panose1 w:val="05020102010507070707"/>
    <w:charset w:val="02"/>
    <w:family w:val="roman"/>
    <w:pitch w:val="default"/>
    <w:sig w:usb0="00000000" w:usb1="00000000" w:usb2="00000000" w:usb3="00000000" w:csb0="80000000" w:csb1="00000000"/>
  </w:font>
  <w:font w:name="Kingsoft Symbol">
    <w:panose1 w:val="05000100010000000000"/>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2A823B">
    <w:r>
      <w:tab/>
    </w:r>
    <w:r>
      <w:tab/>
    </w:r>
  </w:p>
  <w:p w14:paraId="5D4E8CD1">
    <w:pP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D1E460A"/>
    <w:multiLevelType w:val="multilevel"/>
    <w:tmpl w:val="4D1E460A"/>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
    <w:nsid w:val="5D566D2E"/>
    <w:multiLevelType w:val="multilevel"/>
    <w:tmpl w:val="5D566D2E"/>
    <w:lvl w:ilvl="0" w:tentative="0">
      <w:start w:val="1"/>
      <w:numFmt w:val="decimal"/>
      <w:lvlText w:val="%1、"/>
      <w:lvlJc w:val="left"/>
      <w:pPr>
        <w:tabs>
          <w:tab w:val="left" w:pos="420"/>
        </w:tabs>
        <w:ind w:left="420" w:hanging="420"/>
      </w:pPr>
      <w:rPr>
        <w:rFonts w:hint="eastAsia"/>
        <w:b/>
        <w:bCs/>
        <w:lang w:val="en-US"/>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BiMzgwZTYxMjA3Yjk4NTI1ZGUzN2NhZTdlM2NiZjUifQ=="/>
  </w:docVars>
  <w:rsids>
    <w:rsidRoot w:val="0030310F"/>
    <w:rsid w:val="000636BE"/>
    <w:rsid w:val="001733CC"/>
    <w:rsid w:val="00211FA5"/>
    <w:rsid w:val="00291A13"/>
    <w:rsid w:val="003001B9"/>
    <w:rsid w:val="0030310F"/>
    <w:rsid w:val="00417822"/>
    <w:rsid w:val="00675B1B"/>
    <w:rsid w:val="006E2A76"/>
    <w:rsid w:val="009F03D1"/>
    <w:rsid w:val="00BE597F"/>
    <w:rsid w:val="00C46170"/>
    <w:rsid w:val="00CF51FA"/>
    <w:rsid w:val="00FF66C7"/>
    <w:rsid w:val="125314A8"/>
    <w:rsid w:val="13E111C0"/>
    <w:rsid w:val="1719707D"/>
    <w:rsid w:val="481B3ED9"/>
    <w:rsid w:val="4C1C38FD"/>
    <w:rsid w:val="5C225E61"/>
    <w:rsid w:val="60BB0854"/>
    <w:rsid w:val="60F82E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link w:val="13"/>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3">
    <w:name w:val="heading 3"/>
    <w:basedOn w:val="2"/>
    <w:next w:val="1"/>
    <w:link w:val="11"/>
    <w:qFormat/>
    <w:uiPriority w:val="0"/>
    <w:pPr>
      <w:snapToGrid w:val="0"/>
      <w:spacing w:before="120" w:after="120" w:line="240" w:lineRule="auto"/>
      <w:jc w:val="left"/>
      <w:outlineLvl w:val="2"/>
    </w:pPr>
    <w:rPr>
      <w:rFonts w:ascii="黑体" w:hAnsi="黑体" w:eastAsia="黑体" w:cs="Times New Roman"/>
      <w:kern w:val="0"/>
      <w:sz w:val="24"/>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页眉 Char"/>
    <w:basedOn w:val="8"/>
    <w:link w:val="5"/>
    <w:qFormat/>
    <w:uiPriority w:val="99"/>
    <w:rPr>
      <w:sz w:val="18"/>
      <w:szCs w:val="18"/>
    </w:rPr>
  </w:style>
  <w:style w:type="character" w:customStyle="1" w:styleId="10">
    <w:name w:val="页脚 Char"/>
    <w:basedOn w:val="8"/>
    <w:link w:val="4"/>
    <w:qFormat/>
    <w:uiPriority w:val="99"/>
    <w:rPr>
      <w:sz w:val="18"/>
      <w:szCs w:val="18"/>
    </w:rPr>
  </w:style>
  <w:style w:type="character" w:customStyle="1" w:styleId="11">
    <w:name w:val="标题 3 Char"/>
    <w:basedOn w:val="8"/>
    <w:link w:val="3"/>
    <w:qFormat/>
    <w:uiPriority w:val="0"/>
    <w:rPr>
      <w:rFonts w:ascii="黑体" w:hAnsi="黑体" w:eastAsia="黑体" w:cs="Times New Roman"/>
      <w:b/>
      <w:bCs/>
      <w:kern w:val="0"/>
      <w:sz w:val="24"/>
      <w:szCs w:val="32"/>
    </w:rPr>
  </w:style>
  <w:style w:type="paragraph" w:styleId="12">
    <w:name w:val="List Paragraph"/>
    <w:basedOn w:val="1"/>
    <w:qFormat/>
    <w:uiPriority w:val="34"/>
    <w:pPr>
      <w:ind w:firstLine="420" w:firstLineChars="200"/>
    </w:pPr>
    <w:rPr>
      <w:szCs w:val="21"/>
    </w:rPr>
  </w:style>
  <w:style w:type="character" w:customStyle="1" w:styleId="13">
    <w:name w:val="标题 2 Char"/>
    <w:basedOn w:val="8"/>
    <w:link w:val="2"/>
    <w:semiHidden/>
    <w:qFormat/>
    <w:uiPriority w:val="9"/>
    <w:rPr>
      <w:rFonts w:asciiTheme="majorHAnsi" w:hAnsiTheme="majorHAnsi" w:eastAsiaTheme="majorEastAsia" w:cstheme="majorBidi"/>
      <w:b/>
      <w:bCs/>
      <w:sz w:val="32"/>
      <w:szCs w:val="32"/>
    </w:rPr>
  </w:style>
  <w:style w:type="table" w:customStyle="1" w:styleId="14">
    <w:name w:val="网格型1"/>
    <w:basedOn w:val="6"/>
    <w:qFormat/>
    <w:uiPriority w:val="5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1427</Words>
  <Characters>1499</Characters>
  <Lines>10</Lines>
  <Paragraphs>3</Paragraphs>
  <TotalTime>0</TotalTime>
  <ScaleCrop>false</ScaleCrop>
  <LinksUpToDate>false</LinksUpToDate>
  <CharactersWithSpaces>1521</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2020-06-04T02:19:00Z</dcterms:created>
  <dc:creator>dongYP</dc:creator>
  <cp:lastModifiedBy>乐秋</cp:lastModifiedBy>
  <dcterms:modified xsi:type="dcterms:W3CDTF">2024-11-02T04:58:19Z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A9EEA81708E642F4B998BB84EAD86A02_13</vt:lpwstr>
  </property>
</Properties>
</file>