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5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项目名称"/>
            <w:r>
              <w:rPr>
                <w:rFonts w:hint="eastAsia" w:ascii="宋体" w:hAnsi="宋体"/>
                <w:szCs w:val="21"/>
              </w:rPr>
              <w:t>贵州船牌饲料有限公司饲料生产加工项目-办公楼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贵州-贵阳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贵州船牌饲料有限公司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机械工业第六设计研究院有限公司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魏薇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陈祎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隆浩辉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肖汉川</w:t>
            </w:r>
            <w:bookmarkStart w:id="50" w:name="_GoBack"/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2019年7月16日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</w:pPr>
      <w:bookmarkStart w:id="6" w:name="二维码"/>
      <w:bookmarkEnd w:id="6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热环境TERA2018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20180707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NCA65F177F13D794E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"_Toc401318136" </w:instrText>
      </w:r>
      <w:r>
        <w:fldChar w:fldCharType="separate"/>
      </w:r>
      <w:r>
        <w:rPr>
          <w:rStyle w:val="22"/>
        </w:rPr>
        <w:t>1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_Toc401318136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"_Toc401318137"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_Toc401318137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"_Toc401318138"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_Toc401318138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"_Toc401318139" </w:instrText>
      </w:r>
      <w:r>
        <w:fldChar w:fldCharType="separate"/>
      </w:r>
      <w:r>
        <w:rPr>
          <w:rStyle w:val="22"/>
          <w:lang w:val="en-GB"/>
        </w:rPr>
        <w:t>3.1</w:t>
      </w:r>
      <w:r>
        <w:tab/>
      </w:r>
      <w:r>
        <w:rPr>
          <w:rStyle w:val="22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_Toc401318139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"_Toc401318140" </w:instrText>
      </w:r>
      <w:r>
        <w:fldChar w:fldCharType="separate"/>
      </w:r>
      <w:r>
        <w:rPr>
          <w:rStyle w:val="22"/>
          <w:lang w:val="en-GB"/>
        </w:rPr>
        <w:t>3.2</w:t>
      </w:r>
      <w:r>
        <w:tab/>
      </w:r>
      <w:r>
        <w:rPr>
          <w:rStyle w:val="22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_Toc401318140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"_Toc401318141"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_Toc401318141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"_Toc401318142"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_Toc401318142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"_Toc401318143" </w:instrText>
      </w:r>
      <w:r>
        <w:fldChar w:fldCharType="separate"/>
      </w:r>
      <w:r>
        <w:rPr>
          <w:rStyle w:val="22"/>
          <w:lang w:val="en-GB"/>
        </w:rPr>
        <w:t>5.1</w:t>
      </w:r>
      <w:r>
        <w:tab/>
      </w:r>
      <w:r>
        <w:rPr>
          <w:rStyle w:val="22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_Toc401318143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"_Toc401318144" </w:instrText>
      </w:r>
      <w:r>
        <w:fldChar w:fldCharType="separate"/>
      </w:r>
      <w:r>
        <w:rPr>
          <w:rStyle w:val="22"/>
          <w:lang w:val="en-GB"/>
        </w:rPr>
        <w:t>5.2</w:t>
      </w:r>
      <w:r>
        <w:tab/>
      </w:r>
      <w:r>
        <w:rPr>
          <w:rStyle w:val="22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_Toc401318144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"_Toc401318145" </w:instrText>
      </w:r>
      <w:r>
        <w:fldChar w:fldCharType="separate"/>
      </w:r>
      <w:r>
        <w:rPr>
          <w:rStyle w:val="22"/>
          <w:lang w:val="en-GB"/>
        </w:rPr>
        <w:t>5.3</w:t>
      </w:r>
      <w:r>
        <w:tab/>
      </w:r>
      <w:r>
        <w:rPr>
          <w:rStyle w:val="22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_Toc401318145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"_Toc401318146" </w:instrText>
      </w:r>
      <w:r>
        <w:fldChar w:fldCharType="separate"/>
      </w:r>
      <w:r>
        <w:rPr>
          <w:rStyle w:val="22"/>
          <w:lang w:val="en-GB"/>
        </w:rPr>
        <w:t>5.4</w:t>
      </w:r>
      <w:r>
        <w:tab/>
      </w:r>
      <w:r>
        <w:rPr>
          <w:rStyle w:val="22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_Toc401318146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"_Toc401318147" </w:instrText>
      </w:r>
      <w:r>
        <w:fldChar w:fldCharType="separate"/>
      </w:r>
      <w:r>
        <w:rPr>
          <w:rStyle w:val="22"/>
          <w:lang w:val="en-GB"/>
        </w:rPr>
        <w:t>5.5</w:t>
      </w:r>
      <w:r>
        <w:tab/>
      </w:r>
      <w:r>
        <w:rPr>
          <w:rStyle w:val="22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_Toc401318147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"_Toc401318148" </w:instrText>
      </w:r>
      <w:r>
        <w:fldChar w:fldCharType="separate"/>
      </w:r>
      <w:r>
        <w:rPr>
          <w:rStyle w:val="22"/>
          <w:lang w:val="en-GB"/>
        </w:rPr>
        <w:t>5.6</w:t>
      </w:r>
      <w:r>
        <w:tab/>
      </w:r>
      <w:r>
        <w:rPr>
          <w:rStyle w:val="22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_Toc401318148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"_Toc401318149" </w:instrText>
      </w:r>
      <w:r>
        <w:fldChar w:fldCharType="separate"/>
      </w:r>
      <w:r>
        <w:rPr>
          <w:rStyle w:val="22"/>
        </w:rPr>
        <w:t>6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评价性设计</w:t>
      </w:r>
      <w:r>
        <w:tab/>
      </w:r>
      <w:r>
        <w:fldChar w:fldCharType="begin"/>
      </w:r>
      <w:r>
        <w:instrText xml:space="preserve"> PAGEREF _Toc401318149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"_Toc401318150" </w:instrText>
      </w:r>
      <w:r>
        <w:fldChar w:fldCharType="separate"/>
      </w:r>
      <w:r>
        <w:rPr>
          <w:rStyle w:val="22"/>
          <w:lang w:val="en-GB"/>
        </w:rPr>
        <w:t>6.1</w:t>
      </w:r>
      <w:r>
        <w:tab/>
      </w:r>
      <w:r>
        <w:rPr>
          <w:rStyle w:val="22"/>
          <w:rFonts w:hint="eastAsia"/>
        </w:rPr>
        <w:t>平均热岛强度</w:t>
      </w:r>
      <w:r>
        <w:tab/>
      </w:r>
      <w:r>
        <w:fldChar w:fldCharType="begin"/>
      </w:r>
      <w:r>
        <w:instrText xml:space="preserve"> PAGEREF _Toc401318150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"_Toc401318151" </w:instrText>
      </w:r>
      <w:r>
        <w:fldChar w:fldCharType="separate"/>
      </w:r>
      <w:r>
        <w:rPr>
          <w:rStyle w:val="22"/>
          <w:lang w:val="en-GB"/>
        </w:rPr>
        <w:t>6.2</w:t>
      </w:r>
      <w:r>
        <w:tab/>
      </w:r>
      <w:r>
        <w:rPr>
          <w:rStyle w:val="22"/>
          <w:rFonts w:hint="eastAsia"/>
        </w:rPr>
        <w:t>湿球黑球温度</w:t>
      </w:r>
      <w:r>
        <w:tab/>
      </w:r>
      <w:r>
        <w:fldChar w:fldCharType="begin"/>
      </w:r>
      <w:r>
        <w:instrText xml:space="preserve"> PAGEREF _Toc401318151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"_Toc401318152" </w:instrText>
      </w:r>
      <w:r>
        <w:fldChar w:fldCharType="separate"/>
      </w:r>
      <w:r>
        <w:rPr>
          <w:rStyle w:val="22"/>
        </w:rPr>
        <w:t>7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结论</w:t>
      </w:r>
      <w:r>
        <w:tab/>
      </w:r>
      <w:r>
        <w:fldChar w:fldCharType="begin"/>
      </w:r>
      <w:r>
        <w:instrText xml:space="preserve"> PAGEREF _Toc401318152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401318136"/>
      <w:r>
        <w:rPr>
          <w:rFonts w:hint="eastAsia"/>
        </w:rPr>
        <w:t>住区概况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XXX住宅小区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贵阳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106.70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VA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>
      <w:pPr>
        <w:pStyle w:val="2"/>
      </w:pPr>
      <w:bookmarkStart w:id="18" w:name="_Toc401318137"/>
      <w:bookmarkStart w:id="19" w:name="TitleFormat"/>
      <w:r>
        <w:rPr>
          <w:rFonts w:hint="eastAsia"/>
        </w:rPr>
        <w:t>设计依据</w:t>
      </w:r>
      <w:bookmarkEnd w:id="18"/>
    </w:p>
    <w:bookmarkEnd w:id="19"/>
    <w:p>
      <w:pPr>
        <w:widowControl w:val="0"/>
        <w:jc w:val="both"/>
        <w:rPr>
          <w:kern w:val="2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Cs w:val="24"/>
          <w:lang w:val="en-US"/>
        </w:rPr>
        <w:t>《城市居住区热环境设计标准》（JGJ 286-2013）</w:t>
      </w:r>
    </w:p>
    <w:p>
      <w:pPr>
        <w:pStyle w:val="2"/>
      </w:pPr>
      <w:bookmarkStart w:id="21" w:name="_Toc401318138"/>
      <w:r>
        <w:rPr>
          <w:rFonts w:hint="eastAsia"/>
        </w:rPr>
        <w:t>计算参数</w:t>
      </w:r>
      <w:bookmarkEnd w:id="21"/>
    </w:p>
    <w:p>
      <w:pPr>
        <w:pStyle w:val="4"/>
      </w:pPr>
      <w:bookmarkStart w:id="22" w:name="_Toc401318139"/>
      <w:r>
        <w:rPr>
          <w:rFonts w:hint="eastAsia"/>
        </w:rPr>
        <w:t>典型气象日气象参数</w:t>
      </w:r>
      <w:bookmarkEnd w:id="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25.74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122.85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105.30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245.70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207.09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361.53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297.18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486.72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381.42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549.90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431.73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553.41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443.43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556.92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435.24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489.06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389.61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388.44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308.88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291.33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224.64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152.10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124.02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29.25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25.74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177.21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141.52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3" w:name="气象参数"/>
      <w:bookmarkEnd w:id="23"/>
    </w:p>
    <w:p>
      <w:pPr>
        <w:pStyle w:val="4"/>
      </w:pPr>
      <w:bookmarkStart w:id="24" w:name="_Toc401318140"/>
      <w:r>
        <w:rPr>
          <w:rFonts w:hint="eastAsia"/>
        </w:rPr>
        <w:t>渗透面夏季逐时蒸发量</w:t>
      </w:r>
      <w:bookmarkEnd w:id="2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5" w:name="蒸发量参数"/>
      <w:bookmarkEnd w:id="25"/>
    </w:p>
    <w:p>
      <w:pPr>
        <w:pStyle w:val="2"/>
      </w:pPr>
      <w:bookmarkStart w:id="26" w:name="_Toc401318141"/>
      <w:r>
        <w:rPr>
          <w:rFonts w:hint="eastAsia"/>
        </w:rPr>
        <w:t>住区指标概览</w:t>
      </w:r>
      <w:bookmarkEnd w:id="2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tcW w:w="4666" w:type="dxa"/>
            <w:vAlign w:val="center"/>
          </w:tcPr>
          <w:p>
            <w:r>
              <w:t>37673.25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666" w:type="dxa"/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666" w:type="dxa"/>
            <w:vAlign w:val="center"/>
          </w:tcPr>
          <w:p>
            <w:r>
              <w:t>23349.54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tcW w:w="4666" w:type="dxa"/>
            <w:vAlign w:val="center"/>
          </w:tcPr>
          <w:p>
            <w:r>
              <w:t>6772.02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tcW w:w="4666" w:type="dxa"/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4666" w:type="dxa"/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tcW w:w="4666" w:type="dxa"/>
            <w:vAlign w:val="center"/>
          </w:tcPr>
          <w:p>
            <w:r>
              <w:t>7.90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tcW w:w="46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tcW w:w="46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tcW w:w="4666" w:type="dxa"/>
            <w:vAlign w:val="center"/>
          </w:tcPr>
          <w:p>
            <w:r>
              <w:t>0.71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tcW w:w="4666" w:type="dxa"/>
            <w:vAlign w:val="center"/>
          </w:tcPr>
          <w:p>
            <w:r>
              <w:t>35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7" w:name="住区指标概览"/>
      <w:bookmarkEnd w:id="27"/>
    </w:p>
    <w:p>
      <w:pPr>
        <w:pStyle w:val="2"/>
      </w:pPr>
      <w:bookmarkStart w:id="28" w:name="_Toc401318142"/>
      <w:r>
        <w:rPr>
          <w:rFonts w:hint="eastAsia"/>
        </w:rPr>
        <w:t>规定性设计指标</w:t>
      </w:r>
      <w:bookmarkEnd w:id="28"/>
    </w:p>
    <w:p>
      <w:pPr>
        <w:pStyle w:val="4"/>
      </w:pPr>
      <w:bookmarkStart w:id="29" w:name="_Toc401318143"/>
      <w:r>
        <w:rPr>
          <w:rFonts w:hint="eastAsia"/>
        </w:rPr>
        <w:t>平均迎风面积比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办公楼</w:t>
            </w:r>
          </w:p>
        </w:tc>
        <w:tc>
          <w:tcPr>
            <w:tcW w:w="1866" w:type="dxa"/>
            <w:vAlign w:val="center"/>
          </w:tcPr>
          <w:p>
            <w:r>
              <w:t>417.57</w:t>
            </w:r>
          </w:p>
        </w:tc>
        <w:tc>
          <w:tcPr>
            <w:tcW w:w="1866" w:type="dxa"/>
            <w:vAlign w:val="center"/>
          </w:tcPr>
          <w:p>
            <w:r>
              <w:t>521.96</w:t>
            </w:r>
          </w:p>
        </w:tc>
        <w:tc>
          <w:tcPr>
            <w:tcW w:w="1866" w:type="dxa"/>
            <w:vAlign w:val="center"/>
          </w:tcPr>
          <w:p>
            <w:r>
              <w:t>90.00</w:t>
            </w:r>
          </w:p>
        </w:tc>
        <w:tc>
          <w:tcPr>
            <w:tcW w:w="1866" w:type="dxa"/>
            <w:vAlign w:val="center"/>
          </w:tcPr>
          <w:p>
            <w:r>
              <w:t>0.8000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宿舍楼</w:t>
            </w:r>
          </w:p>
        </w:tc>
        <w:tc>
          <w:tcPr>
            <w:tcW w:w="1866" w:type="dxa"/>
            <w:vAlign w:val="center"/>
          </w:tcPr>
          <w:p>
            <w:r>
              <w:t>451.99</w:t>
            </w:r>
          </w:p>
        </w:tc>
        <w:tc>
          <w:tcPr>
            <w:tcW w:w="1866" w:type="dxa"/>
            <w:vAlign w:val="center"/>
          </w:tcPr>
          <w:p>
            <w:r>
              <w:t>579.92</w:t>
            </w:r>
          </w:p>
        </w:tc>
        <w:tc>
          <w:tcPr>
            <w:tcW w:w="1866" w:type="dxa"/>
            <w:vAlign w:val="center"/>
          </w:tcPr>
          <w:p>
            <w:r>
              <w:t>30.00</w:t>
            </w:r>
          </w:p>
        </w:tc>
        <w:tc>
          <w:tcPr>
            <w:tcW w:w="1866" w:type="dxa"/>
            <w:vAlign w:val="center"/>
          </w:tcPr>
          <w:p>
            <w:r>
              <w:t>0.7794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食堂</w:t>
            </w:r>
          </w:p>
        </w:tc>
        <w:tc>
          <w:tcPr>
            <w:tcW w:w="1866" w:type="dxa"/>
            <w:vAlign w:val="center"/>
          </w:tcPr>
          <w:p>
            <w:r>
              <w:t>87.89</w:t>
            </w:r>
          </w:p>
        </w:tc>
        <w:tc>
          <w:tcPr>
            <w:tcW w:w="1866" w:type="dxa"/>
            <w:vAlign w:val="center"/>
          </w:tcPr>
          <w:p>
            <w:r>
              <w:t>134.33</w:t>
            </w:r>
          </w:p>
        </w:tc>
        <w:tc>
          <w:tcPr>
            <w:tcW w:w="1866" w:type="dxa"/>
            <w:vAlign w:val="center"/>
          </w:tcPr>
          <w:p>
            <w:r>
              <w:t>120.00</w:t>
            </w:r>
          </w:p>
        </w:tc>
        <w:tc>
          <w:tcPr>
            <w:tcW w:w="1866" w:type="dxa"/>
            <w:vAlign w:val="center"/>
          </w:tcPr>
          <w:p>
            <w:r>
              <w:t>0.6543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0.745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平均迎风面积比"/>
      <w:bookmarkEnd w:id="30"/>
    </w:p>
    <w:p>
      <w:pPr>
        <w:pStyle w:val="4"/>
      </w:pPr>
      <w:bookmarkStart w:id="31" w:name="_Toc401318144"/>
      <w:r>
        <w:rPr>
          <w:rFonts w:hint="eastAsia"/>
        </w:rPr>
        <w:t>活动场地遮阳覆盖率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2" w:name="活动场地遮阳覆盖率"/>
      <w:bookmarkEnd w:id="32"/>
    </w:p>
    <w:p>
      <w:pPr>
        <w:pStyle w:val="4"/>
      </w:pPr>
      <w:bookmarkStart w:id="33" w:name="_Toc401318145"/>
      <w:r>
        <w:rPr>
          <w:rFonts w:hint="eastAsia"/>
        </w:rPr>
        <w:t>底层通风架空率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12927.6</w:t>
            </w:r>
          </w:p>
        </w:tc>
        <w:tc>
          <w:tcPr>
            <w:tcW w:w="1866" w:type="dxa"/>
            <w:vAlign w:val="center"/>
          </w:tcPr>
          <w:p>
            <w:r>
              <w:t>210.5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办公楼</w:t>
            </w:r>
          </w:p>
        </w:tc>
        <w:tc>
          <w:tcPr>
            <w:tcW w:w="1866" w:type="dxa"/>
            <w:vAlign w:val="center"/>
          </w:tcPr>
          <w:p>
            <w:r>
              <w:t>0.8</w:t>
            </w:r>
          </w:p>
        </w:tc>
        <w:tc>
          <w:tcPr>
            <w:tcW w:w="1866" w:type="dxa"/>
            <w:vAlign w:val="center"/>
          </w:tcPr>
          <w:p>
            <w:r>
              <w:t>493.6</w:t>
            </w:r>
          </w:p>
        </w:tc>
        <w:tc>
          <w:tcPr>
            <w:tcW w:w="1866" w:type="dxa"/>
            <w:vAlign w:val="center"/>
          </w:tcPr>
          <w:p>
            <w:r>
              <w:t>35.8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宿舍楼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511.8</w:t>
            </w:r>
          </w:p>
        </w:tc>
        <w:tc>
          <w:tcPr>
            <w:tcW w:w="1866" w:type="dxa"/>
            <w:vAlign w:val="center"/>
          </w:tcPr>
          <w:p>
            <w:r>
              <w:t>36.4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食堂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390.6</w:t>
            </w:r>
          </w:p>
        </w:tc>
        <w:tc>
          <w:tcPr>
            <w:tcW w:w="1866" w:type="dxa"/>
            <w:vAlign w:val="center"/>
          </w:tcPr>
          <w:p>
            <w:r>
              <w:t>25.5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底层通风架空率"/>
      <w:bookmarkEnd w:id="34"/>
    </w:p>
    <w:p>
      <w:pPr>
        <w:pStyle w:val="4"/>
      </w:pPr>
      <w:bookmarkStart w:id="35" w:name="_Toc401318146"/>
      <w:r>
        <w:rPr>
          <w:rFonts w:hint="eastAsia"/>
        </w:rPr>
        <w:t>绿化遮阳体叶面积指数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LAI&gt;3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2.0&lt;LAI&lt;=3.0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1.0&lt;LAI&lt;=2.0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0.5&lt;LAI&lt;=1.0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LAI&lt;=0.5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LAI&gt;3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2.0&lt;LAI&lt;=3.0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1.0&lt;LAI&lt;=2.0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0.5&lt;LAI&lt;=1.0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LAI&lt;=0.5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绿化遮阳体叶面积指数"/>
      <w:bookmarkEnd w:id="36"/>
    </w:p>
    <w:p>
      <w:pPr>
        <w:pStyle w:val="4"/>
      </w:pPr>
      <w:bookmarkStart w:id="37" w:name="_Toc401318147"/>
      <w:r>
        <w:rPr>
          <w:rFonts w:hint="eastAsia"/>
        </w:rPr>
        <w:t>渗透蒸发指标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渗透蒸发指标"/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39" w:name="_Toc401318148"/>
      <w:r>
        <w:rPr>
          <w:rFonts w:hint="eastAsia"/>
        </w:rPr>
        <w:t>屋面绿化率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12927.6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12927.6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办公楼</w:t>
            </w:r>
          </w:p>
        </w:tc>
        <w:tc>
          <w:tcPr>
            <w:tcW w:w="1866" w:type="dxa"/>
            <w:vAlign w:val="center"/>
          </w:tcPr>
          <w:p>
            <w:r>
              <w:t>493.6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493.6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宿舍楼</w:t>
            </w:r>
          </w:p>
        </w:tc>
        <w:tc>
          <w:tcPr>
            <w:tcW w:w="1866" w:type="dxa"/>
            <w:vAlign w:val="center"/>
          </w:tcPr>
          <w:p>
            <w:r>
              <w:t>511.8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511.8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食堂</w:t>
            </w:r>
          </w:p>
        </w:tc>
        <w:tc>
          <w:tcPr>
            <w:tcW w:w="1866" w:type="dxa"/>
            <w:vAlign w:val="center"/>
          </w:tcPr>
          <w:p>
            <w:r>
              <w:t>390.6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390.6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14323.7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14323.7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屋面绿化率"/>
      <w:bookmarkEnd w:id="40"/>
    </w:p>
    <w:p>
      <w:pPr>
        <w:pStyle w:val="2"/>
      </w:pPr>
      <w:bookmarkStart w:id="41" w:name="_Toc401318149"/>
      <w:r>
        <w:rPr>
          <w:rFonts w:hint="eastAsia"/>
        </w:rPr>
        <w:t>评价性设计</w:t>
      </w:r>
      <w:bookmarkEnd w:id="41"/>
    </w:p>
    <w:p>
      <w:pPr>
        <w:pStyle w:val="4"/>
      </w:pPr>
      <w:bookmarkStart w:id="42" w:name="_Toc401318150"/>
      <w:r>
        <w:rPr>
          <w:rFonts w:hint="eastAsia"/>
        </w:rPr>
        <w:t>平均热岛强度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平均温</w:t>
            </w:r>
            <w:r>
              <w:br w:type="textWrapping"/>
            </w:r>
            <w:r>
              <w:t>度(℃)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</w:t>
            </w:r>
            <w:r>
              <w:br w:type="textWrapping"/>
            </w:r>
            <w:r>
              <w:t>射升温</w:t>
            </w:r>
            <w:r>
              <w:br w:type="textWrapping"/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长波辐</w:t>
            </w:r>
            <w:r>
              <w:br w:type="textWrapping"/>
            </w:r>
            <w:r>
              <w:t>射降温</w:t>
            </w:r>
            <w:r>
              <w:br w:type="textWrapping"/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蒸发换</w:t>
            </w:r>
            <w:r>
              <w:br w:type="textWrapping"/>
            </w:r>
            <w:r>
              <w:t>热降温</w:t>
            </w:r>
            <w:r>
              <w:br w:type="textWrapping"/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居住区</w:t>
            </w:r>
            <w:r>
              <w:br w:type="textWrapping"/>
            </w:r>
            <w:r>
              <w:t>温度</w:t>
            </w:r>
            <w:r>
              <w:br w:type="textWrapping"/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典型气象</w:t>
            </w:r>
            <w:r>
              <w:br w:type="textWrapping"/>
            </w:r>
            <w:r>
              <w:t>温度(℃)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温差(℃)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1.9</w:t>
            </w:r>
          </w:p>
        </w:tc>
        <w:tc>
          <w:tcPr>
            <w:tcW w:w="1166" w:type="dxa"/>
            <w:vAlign w:val="center"/>
          </w:tcPr>
          <w:p>
            <w:r>
              <w:t>3.7</w:t>
            </w:r>
          </w:p>
        </w:tc>
        <w:tc>
          <w:tcPr>
            <w:tcW w:w="1166" w:type="dxa"/>
            <w:vAlign w:val="center"/>
          </w:tcPr>
          <w:p>
            <w:r>
              <w:t>0.5</w:t>
            </w:r>
          </w:p>
        </w:tc>
        <w:tc>
          <w:tcPr>
            <w:tcW w:w="1166" w:type="dxa"/>
            <w:vAlign w:val="center"/>
          </w:tcPr>
          <w:p>
            <w:r>
              <w:t>21.6</w:t>
            </w:r>
          </w:p>
        </w:tc>
        <w:tc>
          <w:tcPr>
            <w:tcW w:w="1166" w:type="dxa"/>
            <w:vAlign w:val="center"/>
          </w:tcPr>
          <w:p>
            <w:r>
              <w:t>22.6</w:t>
            </w:r>
          </w:p>
        </w:tc>
        <w:tc>
          <w:tcPr>
            <w:tcW w:w="1166" w:type="dxa"/>
            <w:vAlign w:val="center"/>
          </w:tcPr>
          <w:p>
            <w:r>
              <w:t>-1.010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3.5</w:t>
            </w:r>
          </w:p>
        </w:tc>
        <w:tc>
          <w:tcPr>
            <w:tcW w:w="1166" w:type="dxa"/>
            <w:vAlign w:val="center"/>
          </w:tcPr>
          <w:p>
            <w:r>
              <w:t>3.6</w:t>
            </w:r>
          </w:p>
        </w:tc>
        <w:tc>
          <w:tcPr>
            <w:tcW w:w="1166" w:type="dxa"/>
            <w:vAlign w:val="center"/>
          </w:tcPr>
          <w:p>
            <w:r>
              <w:t>0.5</w:t>
            </w:r>
          </w:p>
        </w:tc>
        <w:tc>
          <w:tcPr>
            <w:tcW w:w="1166" w:type="dxa"/>
            <w:vAlign w:val="center"/>
          </w:tcPr>
          <w:p>
            <w:r>
              <w:t>23.3</w:t>
            </w:r>
          </w:p>
        </w:tc>
        <w:tc>
          <w:tcPr>
            <w:tcW w:w="1166" w:type="dxa"/>
            <w:vAlign w:val="center"/>
          </w:tcPr>
          <w:p>
            <w:r>
              <w:t>23.5</w:t>
            </w:r>
          </w:p>
        </w:tc>
        <w:tc>
          <w:tcPr>
            <w:tcW w:w="1166" w:type="dxa"/>
            <w:vAlign w:val="center"/>
          </w:tcPr>
          <w:p>
            <w:r>
              <w:t>-0.188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5.6</w:t>
            </w:r>
          </w:p>
        </w:tc>
        <w:tc>
          <w:tcPr>
            <w:tcW w:w="1166" w:type="dxa"/>
            <w:vAlign w:val="center"/>
          </w:tcPr>
          <w:p>
            <w:r>
              <w:t>3.5</w:t>
            </w:r>
          </w:p>
        </w:tc>
        <w:tc>
          <w:tcPr>
            <w:tcW w:w="1166" w:type="dxa"/>
            <w:vAlign w:val="center"/>
          </w:tcPr>
          <w:p>
            <w:r>
              <w:t>0.5</w:t>
            </w:r>
          </w:p>
        </w:tc>
        <w:tc>
          <w:tcPr>
            <w:tcW w:w="1166" w:type="dxa"/>
            <w:vAlign w:val="center"/>
          </w:tcPr>
          <w:p>
            <w:r>
              <w:t>25.5</w:t>
            </w:r>
          </w:p>
        </w:tc>
        <w:tc>
          <w:tcPr>
            <w:tcW w:w="1166" w:type="dxa"/>
            <w:vAlign w:val="center"/>
          </w:tcPr>
          <w:p>
            <w:r>
              <w:t>24.3</w:t>
            </w:r>
          </w:p>
        </w:tc>
        <w:tc>
          <w:tcPr>
            <w:tcW w:w="1166" w:type="dxa"/>
            <w:vAlign w:val="center"/>
          </w:tcPr>
          <w:p>
            <w:r>
              <w:t>1.218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7.8</w:t>
            </w:r>
          </w:p>
        </w:tc>
        <w:tc>
          <w:tcPr>
            <w:tcW w:w="1166" w:type="dxa"/>
            <w:vAlign w:val="center"/>
          </w:tcPr>
          <w:p>
            <w:r>
              <w:t>3.5</w:t>
            </w:r>
          </w:p>
        </w:tc>
        <w:tc>
          <w:tcPr>
            <w:tcW w:w="1166" w:type="dxa"/>
            <w:vAlign w:val="center"/>
          </w:tcPr>
          <w:p>
            <w:r>
              <w:t>0.5</w:t>
            </w:r>
          </w:p>
        </w:tc>
        <w:tc>
          <w:tcPr>
            <w:tcW w:w="1166" w:type="dxa"/>
            <w:vAlign w:val="center"/>
          </w:tcPr>
          <w:p>
            <w:r>
              <w:t>27.8</w:t>
            </w:r>
          </w:p>
        </w:tc>
        <w:tc>
          <w:tcPr>
            <w:tcW w:w="1166" w:type="dxa"/>
            <w:vAlign w:val="center"/>
          </w:tcPr>
          <w:p>
            <w:r>
              <w:t>25.1</w:t>
            </w:r>
          </w:p>
        </w:tc>
        <w:tc>
          <w:tcPr>
            <w:tcW w:w="1166" w:type="dxa"/>
            <w:vAlign w:val="center"/>
          </w:tcPr>
          <w:p>
            <w:r>
              <w:t>2.689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9.7</w:t>
            </w:r>
          </w:p>
        </w:tc>
        <w:tc>
          <w:tcPr>
            <w:tcW w:w="1166" w:type="dxa"/>
            <w:vAlign w:val="center"/>
          </w:tcPr>
          <w:p>
            <w:r>
              <w:t>3.5</w:t>
            </w:r>
          </w:p>
        </w:tc>
        <w:tc>
          <w:tcPr>
            <w:tcW w:w="1166" w:type="dxa"/>
            <w:vAlign w:val="center"/>
          </w:tcPr>
          <w:p>
            <w:r>
              <w:t>0.4</w:t>
            </w:r>
          </w:p>
        </w:tc>
        <w:tc>
          <w:tcPr>
            <w:tcW w:w="1166" w:type="dxa"/>
            <w:vAlign w:val="center"/>
          </w:tcPr>
          <w:p>
            <w:r>
              <w:t>29.8</w:t>
            </w:r>
          </w:p>
        </w:tc>
        <w:tc>
          <w:tcPr>
            <w:tcW w:w="1166" w:type="dxa"/>
            <w:vAlign w:val="center"/>
          </w:tcPr>
          <w:p>
            <w:r>
              <w:t>25.8</w:t>
            </w:r>
          </w:p>
        </w:tc>
        <w:tc>
          <w:tcPr>
            <w:tcW w:w="1166" w:type="dxa"/>
            <w:vAlign w:val="center"/>
          </w:tcPr>
          <w:p>
            <w:r>
              <w:t>3.953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11.4</w:t>
            </w:r>
          </w:p>
        </w:tc>
        <w:tc>
          <w:tcPr>
            <w:tcW w:w="1166" w:type="dxa"/>
            <w:vAlign w:val="center"/>
          </w:tcPr>
          <w:p>
            <w:r>
              <w:t>3.4</w:t>
            </w:r>
          </w:p>
        </w:tc>
        <w:tc>
          <w:tcPr>
            <w:tcW w:w="1166" w:type="dxa"/>
            <w:vAlign w:val="center"/>
          </w:tcPr>
          <w:p>
            <w:r>
              <w:t>0.3</w:t>
            </w:r>
          </w:p>
        </w:tc>
        <w:tc>
          <w:tcPr>
            <w:tcW w:w="1166" w:type="dxa"/>
            <w:vAlign w:val="center"/>
          </w:tcPr>
          <w:p>
            <w:r>
              <w:t>31.5</w:t>
            </w:r>
          </w:p>
        </w:tc>
        <w:tc>
          <w:tcPr>
            <w:tcW w:w="1166" w:type="dxa"/>
            <w:vAlign w:val="center"/>
          </w:tcPr>
          <w:p>
            <w:r>
              <w:t>26.3</w:t>
            </w:r>
          </w:p>
        </w:tc>
        <w:tc>
          <w:tcPr>
            <w:tcW w:w="1166" w:type="dxa"/>
            <w:vAlign w:val="center"/>
          </w:tcPr>
          <w:p>
            <w:r>
              <w:t>5.232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12.5</w:t>
            </w:r>
          </w:p>
        </w:tc>
        <w:tc>
          <w:tcPr>
            <w:tcW w:w="1166" w:type="dxa"/>
            <w:vAlign w:val="center"/>
          </w:tcPr>
          <w:p>
            <w:r>
              <w:t>3.5</w:t>
            </w:r>
          </w:p>
        </w:tc>
        <w:tc>
          <w:tcPr>
            <w:tcW w:w="1166" w:type="dxa"/>
            <w:vAlign w:val="center"/>
          </w:tcPr>
          <w:p>
            <w:r>
              <w:t>0.3</w:t>
            </w:r>
          </w:p>
        </w:tc>
        <w:tc>
          <w:tcPr>
            <w:tcW w:w="1166" w:type="dxa"/>
            <w:vAlign w:val="center"/>
          </w:tcPr>
          <w:p>
            <w:r>
              <w:t>32.7</w:t>
            </w:r>
          </w:p>
        </w:tc>
        <w:tc>
          <w:tcPr>
            <w:tcW w:w="1166" w:type="dxa"/>
            <w:vAlign w:val="center"/>
          </w:tcPr>
          <w:p>
            <w:r>
              <w:t>26.7</w:t>
            </w:r>
          </w:p>
        </w:tc>
        <w:tc>
          <w:tcPr>
            <w:tcW w:w="1166" w:type="dxa"/>
            <w:vAlign w:val="center"/>
          </w:tcPr>
          <w:p>
            <w:r>
              <w:t>5.953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13.0</w:t>
            </w:r>
          </w:p>
        </w:tc>
        <w:tc>
          <w:tcPr>
            <w:tcW w:w="1166" w:type="dxa"/>
            <w:vAlign w:val="center"/>
          </w:tcPr>
          <w:p>
            <w:r>
              <w:t>3.5</w:t>
            </w:r>
          </w:p>
        </w:tc>
        <w:tc>
          <w:tcPr>
            <w:tcW w:w="1166" w:type="dxa"/>
            <w:vAlign w:val="center"/>
          </w:tcPr>
          <w:p>
            <w:r>
              <w:t>0.2</w:t>
            </w:r>
          </w:p>
        </w:tc>
        <w:tc>
          <w:tcPr>
            <w:tcW w:w="1166" w:type="dxa"/>
            <w:vAlign w:val="center"/>
          </w:tcPr>
          <w:p>
            <w:r>
              <w:t>33.2</w:t>
            </w:r>
          </w:p>
        </w:tc>
        <w:tc>
          <w:tcPr>
            <w:tcW w:w="1166" w:type="dxa"/>
            <w:vAlign w:val="center"/>
          </w:tcPr>
          <w:p>
            <w:r>
              <w:t>26.9</w:t>
            </w:r>
          </w:p>
        </w:tc>
        <w:tc>
          <w:tcPr>
            <w:tcW w:w="1166" w:type="dxa"/>
            <w:vAlign w:val="center"/>
          </w:tcPr>
          <w:p>
            <w:r>
              <w:t>6.296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13.0</w:t>
            </w:r>
          </w:p>
        </w:tc>
        <w:tc>
          <w:tcPr>
            <w:tcW w:w="1166" w:type="dxa"/>
            <w:vAlign w:val="center"/>
          </w:tcPr>
          <w:p>
            <w:r>
              <w:t>3.5</w:t>
            </w:r>
          </w:p>
        </w:tc>
        <w:tc>
          <w:tcPr>
            <w:tcW w:w="1166" w:type="dxa"/>
            <w:vAlign w:val="center"/>
          </w:tcPr>
          <w:p>
            <w:r>
              <w:t>0.1</w:t>
            </w:r>
          </w:p>
        </w:tc>
        <w:tc>
          <w:tcPr>
            <w:tcW w:w="1166" w:type="dxa"/>
            <w:vAlign w:val="center"/>
          </w:tcPr>
          <w:p>
            <w:r>
              <w:t>33.2</w:t>
            </w:r>
          </w:p>
        </w:tc>
        <w:tc>
          <w:tcPr>
            <w:tcW w:w="1166" w:type="dxa"/>
            <w:vAlign w:val="center"/>
          </w:tcPr>
          <w:p>
            <w:r>
              <w:t>26.8</w:t>
            </w:r>
          </w:p>
        </w:tc>
        <w:tc>
          <w:tcPr>
            <w:tcW w:w="1166" w:type="dxa"/>
            <w:vAlign w:val="center"/>
          </w:tcPr>
          <w:p>
            <w:r>
              <w:t>6.385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12.4</w:t>
            </w:r>
          </w:p>
        </w:tc>
        <w:tc>
          <w:tcPr>
            <w:tcW w:w="1166" w:type="dxa"/>
            <w:vAlign w:val="center"/>
          </w:tcPr>
          <w:p>
            <w:r>
              <w:t>3.6</w:t>
            </w:r>
          </w:p>
        </w:tc>
        <w:tc>
          <w:tcPr>
            <w:tcW w:w="1166" w:type="dxa"/>
            <w:vAlign w:val="center"/>
          </w:tcPr>
          <w:p>
            <w:r>
              <w:t>0.1</w:t>
            </w:r>
          </w:p>
        </w:tc>
        <w:tc>
          <w:tcPr>
            <w:tcW w:w="1166" w:type="dxa"/>
            <w:vAlign w:val="center"/>
          </w:tcPr>
          <w:p>
            <w:r>
              <w:t>32.5</w:t>
            </w:r>
          </w:p>
        </w:tc>
        <w:tc>
          <w:tcPr>
            <w:tcW w:w="1166" w:type="dxa"/>
            <w:vAlign w:val="center"/>
          </w:tcPr>
          <w:p>
            <w:r>
              <w:t>26.3</w:t>
            </w:r>
          </w:p>
        </w:tc>
        <w:tc>
          <w:tcPr>
            <w:tcW w:w="1166" w:type="dxa"/>
            <w:vAlign w:val="center"/>
          </w:tcPr>
          <w:p>
            <w:r>
              <w:t>6.234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166" w:type="dxa"/>
            <w:vAlign w:val="center"/>
          </w:tcPr>
          <w:p>
            <w:r>
              <w:t>23.9</w:t>
            </w:r>
          </w:p>
        </w:tc>
        <w:tc>
          <w:tcPr>
            <w:tcW w:w="1166" w:type="dxa"/>
            <w:vAlign w:val="center"/>
          </w:tcPr>
          <w:p>
            <w:r>
              <w:t>11.3</w:t>
            </w:r>
          </w:p>
        </w:tc>
        <w:tc>
          <w:tcPr>
            <w:tcW w:w="1166" w:type="dxa"/>
            <w:vAlign w:val="center"/>
          </w:tcPr>
          <w:p>
            <w:r>
              <w:t>3.7</w:t>
            </w:r>
          </w:p>
        </w:tc>
        <w:tc>
          <w:tcPr>
            <w:tcW w:w="1166" w:type="dxa"/>
            <w:vAlign w:val="center"/>
          </w:tcPr>
          <w:p>
            <w:r>
              <w:t>0.1</w:t>
            </w:r>
          </w:p>
        </w:tc>
        <w:tc>
          <w:tcPr>
            <w:tcW w:w="1166" w:type="dxa"/>
            <w:vAlign w:val="center"/>
          </w:tcPr>
          <w:p>
            <w:r>
              <w:t>31.4</w:t>
            </w:r>
          </w:p>
        </w:tc>
        <w:tc>
          <w:tcPr>
            <w:tcW w:w="1166" w:type="dxa"/>
            <w:vAlign w:val="center"/>
          </w:tcPr>
          <w:p>
            <w:r>
              <w:t>25.6</w:t>
            </w:r>
          </w:p>
        </w:tc>
        <w:tc>
          <w:tcPr>
            <w:tcW w:w="1166" w:type="dxa"/>
            <w:vAlign w:val="center"/>
          </w:tcPr>
          <w:p>
            <w:r>
              <w:t>5.820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平均热岛</w:t>
            </w:r>
            <w:r>
              <w:br w:type="textWrapping"/>
            </w:r>
            <w:r>
              <w:t>强度(℃)</w:t>
            </w:r>
          </w:p>
        </w:tc>
        <w:tc>
          <w:tcPr>
            <w:tcW w:w="8162" w:type="dxa"/>
            <w:gridSpan w:val="7"/>
            <w:vAlign w:val="center"/>
          </w:tcPr>
          <w:p>
            <w:r>
              <w:rPr>
                <w:color w:val="FF0000"/>
              </w:rPr>
              <w:t>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>
            <w:r>
              <w:t>《城市居住区热环境设计标准》3.3.1条规定指标，按照5.0.2条的公式计算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>
            <w:r>
              <w:t>居住区夏季平均热岛强度不应大于1.5℃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平均热岛强度"/>
      <w:bookmarkEnd w:id="43"/>
    </w:p>
    <w:p>
      <w:pPr>
        <w:pStyle w:val="3"/>
        <w:ind w:firstLine="0" w:firstLineChars="0"/>
        <w:rPr>
          <w:lang w:val="en-US"/>
        </w:rPr>
      </w:pPr>
      <w:bookmarkStart w:id="44" w:name="平均热岛强度图片"/>
      <w:bookmarkEnd w:id="44"/>
      <w:r>
        <w:drawing>
          <wp:inline distT="0" distB="0" distL="0" distR="0">
            <wp:extent cx="5667375" cy="26289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401318151"/>
      <w:r>
        <w:rPr>
          <w:rFonts w:hint="eastAsia"/>
        </w:rPr>
        <w:t>湿球黑球温度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56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居住区温度</w:t>
            </w:r>
            <w:r>
              <w:br w:type="textWrapping"/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地表短波辐射</w:t>
            </w:r>
            <w:r>
              <w:br w:type="textWrapping"/>
            </w:r>
            <w:r>
              <w:t>(W/㎡)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湿球黑球温度</w:t>
            </w:r>
            <w:r>
              <w:br w:type="textWrapping"/>
            </w:r>
            <w:r>
              <w:t>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21.6</w:t>
            </w:r>
          </w:p>
        </w:tc>
        <w:tc>
          <w:tcPr>
            <w:tcW w:w="1556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174.6</w:t>
            </w:r>
          </w:p>
        </w:tc>
        <w:tc>
          <w:tcPr>
            <w:tcW w:w="1556" w:type="dxa"/>
            <w:vAlign w:val="center"/>
          </w:tcPr>
          <w:p>
            <w:r>
              <w:t>34.9</w:t>
            </w:r>
          </w:p>
        </w:tc>
        <w:tc>
          <w:tcPr>
            <w:tcW w:w="1556" w:type="dxa"/>
            <w:vAlign w:val="center"/>
          </w:tcPr>
          <w:p>
            <w:r>
              <w:t>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23.3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263.5</w:t>
            </w:r>
          </w:p>
        </w:tc>
        <w:tc>
          <w:tcPr>
            <w:tcW w:w="1556" w:type="dxa"/>
            <w:vAlign w:val="center"/>
          </w:tcPr>
          <w:p>
            <w:r>
              <w:t>52.7</w:t>
            </w:r>
          </w:p>
        </w:tc>
        <w:tc>
          <w:tcPr>
            <w:tcW w:w="1556" w:type="dxa"/>
            <w:vAlign w:val="center"/>
          </w:tcPr>
          <w:p>
            <w:r>
              <w:t>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25.5</w:t>
            </w:r>
          </w:p>
        </w:tc>
        <w:tc>
          <w:tcPr>
            <w:tcW w:w="1556" w:type="dxa"/>
            <w:vAlign w:val="center"/>
          </w:tcPr>
          <w:p>
            <w:r>
              <w:t>0.7</w:t>
            </w:r>
          </w:p>
        </w:tc>
        <w:tc>
          <w:tcPr>
            <w:tcW w:w="1556" w:type="dxa"/>
            <w:vAlign w:val="center"/>
          </w:tcPr>
          <w:p>
            <w:r>
              <w:t>366.5</w:t>
            </w:r>
          </w:p>
        </w:tc>
        <w:tc>
          <w:tcPr>
            <w:tcW w:w="1556" w:type="dxa"/>
            <w:vAlign w:val="center"/>
          </w:tcPr>
          <w:p>
            <w:r>
              <w:t>73.3</w:t>
            </w:r>
          </w:p>
        </w:tc>
        <w:tc>
          <w:tcPr>
            <w:tcW w:w="1556" w:type="dxa"/>
            <w:vAlign w:val="center"/>
          </w:tcPr>
          <w:p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27.8</w:t>
            </w:r>
          </w:p>
        </w:tc>
        <w:tc>
          <w:tcPr>
            <w:tcW w:w="1556" w:type="dxa"/>
            <w:vAlign w:val="center"/>
          </w:tcPr>
          <w:p>
            <w:r>
              <w:t>0.6</w:t>
            </w:r>
          </w:p>
        </w:tc>
        <w:tc>
          <w:tcPr>
            <w:tcW w:w="1556" w:type="dxa"/>
            <w:vAlign w:val="center"/>
          </w:tcPr>
          <w:p>
            <w:r>
              <w:t>419.2</w:t>
            </w:r>
          </w:p>
        </w:tc>
        <w:tc>
          <w:tcPr>
            <w:tcW w:w="1556" w:type="dxa"/>
            <w:vAlign w:val="center"/>
          </w:tcPr>
          <w:p>
            <w:r>
              <w:t>83.8</w:t>
            </w:r>
          </w:p>
        </w:tc>
        <w:tc>
          <w:tcPr>
            <w:tcW w:w="1556" w:type="dxa"/>
            <w:vAlign w:val="center"/>
          </w:tcPr>
          <w:p>
            <w: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29.8</w:t>
            </w:r>
          </w:p>
        </w:tc>
        <w:tc>
          <w:tcPr>
            <w:tcW w:w="1556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r>
              <w:t>414.8</w:t>
            </w:r>
          </w:p>
        </w:tc>
        <w:tc>
          <w:tcPr>
            <w:tcW w:w="1556" w:type="dxa"/>
            <w:vAlign w:val="center"/>
          </w:tcPr>
          <w:p>
            <w:r>
              <w:t>83.0</w:t>
            </w:r>
          </w:p>
        </w:tc>
        <w:tc>
          <w:tcPr>
            <w:tcW w:w="1556" w:type="dxa"/>
            <w:vAlign w:val="center"/>
          </w:tcPr>
          <w:p>
            <w:r>
              <w:t>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31.5</w:t>
            </w:r>
          </w:p>
        </w:tc>
        <w:tc>
          <w:tcPr>
            <w:tcW w:w="1556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r>
              <w:t>411.6</w:t>
            </w:r>
          </w:p>
        </w:tc>
        <w:tc>
          <w:tcPr>
            <w:tcW w:w="1556" w:type="dxa"/>
            <w:vAlign w:val="center"/>
          </w:tcPr>
          <w:p>
            <w:r>
              <w:t>82.3</w:t>
            </w:r>
          </w:p>
        </w:tc>
        <w:tc>
          <w:tcPr>
            <w:tcW w:w="1556" w:type="dxa"/>
            <w:vAlign w:val="center"/>
          </w:tcPr>
          <w:p>
            <w:r>
              <w:t>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32.7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353.3</w:t>
            </w:r>
          </w:p>
        </w:tc>
        <w:tc>
          <w:tcPr>
            <w:tcW w:w="1556" w:type="dxa"/>
            <w:vAlign w:val="center"/>
          </w:tcPr>
          <w:p>
            <w:r>
              <w:t>70.7</w:t>
            </w:r>
          </w:p>
        </w:tc>
        <w:tc>
          <w:tcPr>
            <w:tcW w:w="1556" w:type="dxa"/>
            <w:vAlign w:val="center"/>
          </w:tcPr>
          <w:p>
            <w: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33.2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272.4</w:t>
            </w:r>
          </w:p>
        </w:tc>
        <w:tc>
          <w:tcPr>
            <w:tcW w:w="1556" w:type="dxa"/>
            <w:vAlign w:val="center"/>
          </w:tcPr>
          <w:p>
            <w:r>
              <w:t>54.5</w:t>
            </w:r>
          </w:p>
        </w:tc>
        <w:tc>
          <w:tcPr>
            <w:tcW w:w="1556" w:type="dxa"/>
            <w:vAlign w:val="center"/>
          </w:tcPr>
          <w:p>
            <w: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33.2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197.0</w:t>
            </w:r>
          </w:p>
        </w:tc>
        <w:tc>
          <w:tcPr>
            <w:tcW w:w="1556" w:type="dxa"/>
            <w:vAlign w:val="center"/>
          </w:tcPr>
          <w:p>
            <w:r>
              <w:t>39.4</w:t>
            </w:r>
          </w:p>
        </w:tc>
        <w:tc>
          <w:tcPr>
            <w:tcW w:w="1556" w:type="dxa"/>
            <w:vAlign w:val="center"/>
          </w:tcPr>
          <w:p>
            <w: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32.5</w:t>
            </w:r>
          </w:p>
        </w:tc>
        <w:tc>
          <w:tcPr>
            <w:tcW w:w="1556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r>
              <w:t>99.8</w:t>
            </w:r>
          </w:p>
        </w:tc>
        <w:tc>
          <w:tcPr>
            <w:tcW w:w="1556" w:type="dxa"/>
            <w:vAlign w:val="center"/>
          </w:tcPr>
          <w:p>
            <w:r>
              <w:t>20.0</w:t>
            </w:r>
          </w:p>
        </w:tc>
        <w:tc>
          <w:tcPr>
            <w:tcW w:w="1556" w:type="dxa"/>
            <w:vAlign w:val="center"/>
          </w:tcPr>
          <w:p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31.4</w:t>
            </w:r>
          </w:p>
        </w:tc>
        <w:tc>
          <w:tcPr>
            <w:tcW w:w="1556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r>
              <w:t>21.7</w:t>
            </w:r>
          </w:p>
        </w:tc>
        <w:tc>
          <w:tcPr>
            <w:tcW w:w="1556" w:type="dxa"/>
            <w:vAlign w:val="center"/>
          </w:tcPr>
          <w:p>
            <w:r>
              <w:t>4.3</w:t>
            </w:r>
          </w:p>
        </w:tc>
        <w:tc>
          <w:tcPr>
            <w:tcW w:w="1556" w:type="dxa"/>
            <w:vAlign w:val="center"/>
          </w:tcPr>
          <w:p>
            <w:r>
              <w:t>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最大湿球</w:t>
            </w:r>
            <w:r>
              <w:br w:type="textWrapping"/>
            </w:r>
            <w:r>
              <w:t>黑球强度(℃)</w:t>
            </w:r>
          </w:p>
        </w:tc>
        <w:tc>
          <w:tcPr>
            <w:tcW w:w="7780" w:type="dxa"/>
            <w:gridSpan w:val="5"/>
            <w:vAlign w:val="center"/>
          </w:tcPr>
          <w:p>
            <w:r>
              <w:t>26.30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>
            <w:r>
              <w:t>《城市居住区热环境设计标准》3.3.1条规定指标，按照5.0.1条的公式计算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>
            <w:r>
              <w:t>居住区逐时湿球黑球温度不应大于33℃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湿球黑球温度"/>
      <w:bookmarkEnd w:id="46"/>
    </w:p>
    <w:p>
      <w:pPr>
        <w:pStyle w:val="3"/>
        <w:ind w:firstLine="0" w:firstLineChars="0"/>
        <w:rPr>
          <w:lang w:val="en-US"/>
        </w:rPr>
      </w:pPr>
      <w:bookmarkStart w:id="47" w:name="湿球黑球温度图片"/>
      <w:bookmarkEnd w:id="47"/>
      <w:r>
        <w:drawing>
          <wp:inline distT="0" distB="0" distL="0" distR="0">
            <wp:extent cx="5667375" cy="2714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48" w:name="_Toc401318152"/>
      <w:r>
        <w:rPr>
          <w:rFonts w:hint="eastAsia"/>
        </w:rPr>
        <w:t>结论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restart"/>
            <w:shd w:val="clear" w:color="auto" w:fill="E6E6E6"/>
            <w:vAlign w:val="center"/>
          </w:tcPr>
          <w:p>
            <w:r>
              <w:rPr>
                <w:b/>
              </w:rPr>
              <w:t>强条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r>
              <w:rPr>
                <w:b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r>
              <w:rPr>
                <w:b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restart"/>
            <w:shd w:val="clear" w:color="auto" w:fill="E6E6E6"/>
            <w:vAlign w:val="center"/>
          </w:tcPr>
          <w:p>
            <w:r>
              <w:t>评价性设计</w:t>
            </w:r>
          </w:p>
        </w:tc>
        <w:tc>
          <w:tcPr>
            <w:tcW w:w="2800" w:type="dxa"/>
            <w:vAlign w:val="center"/>
          </w:tcPr>
          <w:p>
            <w:r>
              <w:t>平均热岛强度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2800" w:type="dxa"/>
            <w:vMerge w:val="restart"/>
            <w:vAlign w:val="center"/>
          </w:tcPr>
          <w:p>
            <w:r>
              <w:t>需同时满足强制条文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湿球黑球温度</w:t>
            </w:r>
          </w:p>
        </w:tc>
        <w:tc>
          <w:tcPr>
            <w:tcW w:w="1866" w:type="dxa"/>
            <w:vAlign w:val="center"/>
          </w:tcPr>
          <w:p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9" w:name="结论"/>
      <w:bookmarkEnd w:id="49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3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8A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6794"/>
    <w:rsid w:val="00122AE1"/>
    <w:rsid w:val="00135FAF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320D8"/>
    <w:rsid w:val="00346AFD"/>
    <w:rsid w:val="00353FD3"/>
    <w:rsid w:val="003746AC"/>
    <w:rsid w:val="00384F21"/>
    <w:rsid w:val="00397E6B"/>
    <w:rsid w:val="003B0012"/>
    <w:rsid w:val="003C6997"/>
    <w:rsid w:val="003E4437"/>
    <w:rsid w:val="00417088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207E3"/>
    <w:rsid w:val="005215FB"/>
    <w:rsid w:val="00545FB7"/>
    <w:rsid w:val="00561C8F"/>
    <w:rsid w:val="005755BA"/>
    <w:rsid w:val="0057692D"/>
    <w:rsid w:val="005812C2"/>
    <w:rsid w:val="005C7162"/>
    <w:rsid w:val="00613298"/>
    <w:rsid w:val="00651069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8329E7"/>
    <w:rsid w:val="00872A29"/>
    <w:rsid w:val="00883D6C"/>
    <w:rsid w:val="00886207"/>
    <w:rsid w:val="00897FCE"/>
    <w:rsid w:val="008B6B76"/>
    <w:rsid w:val="008E3905"/>
    <w:rsid w:val="008F4A97"/>
    <w:rsid w:val="009115AF"/>
    <w:rsid w:val="00917B5B"/>
    <w:rsid w:val="0092562F"/>
    <w:rsid w:val="00935D40"/>
    <w:rsid w:val="00940A35"/>
    <w:rsid w:val="009410A0"/>
    <w:rsid w:val="009744B2"/>
    <w:rsid w:val="00975F30"/>
    <w:rsid w:val="009B5732"/>
    <w:rsid w:val="009C3CAA"/>
    <w:rsid w:val="009C61AC"/>
    <w:rsid w:val="009D580B"/>
    <w:rsid w:val="009D7B62"/>
    <w:rsid w:val="009E4629"/>
    <w:rsid w:val="009E5E29"/>
    <w:rsid w:val="009F3F68"/>
    <w:rsid w:val="00A0719E"/>
    <w:rsid w:val="00A305A7"/>
    <w:rsid w:val="00A32590"/>
    <w:rsid w:val="00A355BD"/>
    <w:rsid w:val="00A402EA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6C0D"/>
    <w:rsid w:val="00B26E83"/>
    <w:rsid w:val="00B41640"/>
    <w:rsid w:val="00B4240C"/>
    <w:rsid w:val="00B55B22"/>
    <w:rsid w:val="00B60841"/>
    <w:rsid w:val="00B645C9"/>
    <w:rsid w:val="00B7457E"/>
    <w:rsid w:val="00BA50C0"/>
    <w:rsid w:val="00BB1C06"/>
    <w:rsid w:val="00BC24EE"/>
    <w:rsid w:val="00BD4A14"/>
    <w:rsid w:val="00BE4349"/>
    <w:rsid w:val="00C0203A"/>
    <w:rsid w:val="00C22E6B"/>
    <w:rsid w:val="00C3317F"/>
    <w:rsid w:val="00C63237"/>
    <w:rsid w:val="00C67778"/>
    <w:rsid w:val="00C95557"/>
    <w:rsid w:val="00C97E25"/>
    <w:rsid w:val="00CA1AA5"/>
    <w:rsid w:val="00CA311D"/>
    <w:rsid w:val="00CB5853"/>
    <w:rsid w:val="00CC50E4"/>
    <w:rsid w:val="00CE28AA"/>
    <w:rsid w:val="00CE3E52"/>
    <w:rsid w:val="00D40158"/>
    <w:rsid w:val="00D43C46"/>
    <w:rsid w:val="00D478B3"/>
    <w:rsid w:val="00D62A9A"/>
    <w:rsid w:val="00D96AE9"/>
    <w:rsid w:val="00DC73AD"/>
    <w:rsid w:val="00DD16C4"/>
    <w:rsid w:val="00DD42A2"/>
    <w:rsid w:val="00DD50F9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3418"/>
    <w:rsid w:val="00EE005A"/>
    <w:rsid w:val="00EF0674"/>
    <w:rsid w:val="00EF5872"/>
    <w:rsid w:val="00EF5DD5"/>
    <w:rsid w:val="00F03100"/>
    <w:rsid w:val="00F16AE6"/>
    <w:rsid w:val="00F312DB"/>
    <w:rsid w:val="00F4565A"/>
    <w:rsid w:val="00F75DD1"/>
    <w:rsid w:val="00F90890"/>
    <w:rsid w:val="00FA4B87"/>
    <w:rsid w:val="00FA733F"/>
    <w:rsid w:val="00FC0388"/>
    <w:rsid w:val="00FF2243"/>
    <w:rsid w:val="00FF428A"/>
    <w:rsid w:val="4F0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3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9</Pages>
  <Words>905</Words>
  <Characters>5163</Characters>
  <Lines>43</Lines>
  <Paragraphs>12</Paragraphs>
  <TotalTime>6</TotalTime>
  <ScaleCrop>false</ScaleCrop>
  <LinksUpToDate>false</LinksUpToDate>
  <CharactersWithSpaces>6056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2019-08-08T02:54:00Z</dcterms:created>
  <dc:creator>2438</dc:creator>
  <cp:lastModifiedBy>Administrator</cp:lastModifiedBy>
  <cp:lastPrinted>2411-12-31T16:00:00Z</cp:lastPrinted>
  <dcterms:modified xsi:type="dcterms:W3CDTF">2019-11-19T07:27:10Z</dcterms:modified>
  <dc:title>住区热环境设计报告书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