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>
      <w:pPr>
        <w:jc w:val="center"/>
        <w:rPr>
          <w:rFonts w:ascii="宋体" w:eastAsia="宋体" w:hAnsi="宋体" w:cs="宋体" w:hint="eastAsia"/>
          <w:b/>
          <w:bCs/>
          <w:sz w:val="52"/>
          <w:szCs w:val="52"/>
          <w:lang w:eastAsia="zh-CN"/>
        </w:rPr>
      </w:pPr>
      <w:r>
        <w:rPr>
          <w:rFonts w:ascii="宋体" w:eastAsia="宋体" w:hAnsi="宋体" w:cs="宋体" w:hint="eastAsia"/>
          <w:b/>
          <w:bCs/>
          <w:sz w:val="52"/>
          <w:szCs w:val="52"/>
          <w:lang w:eastAsia="zh-CN"/>
        </w:rPr>
        <w:t>羊场煤矿</w:t>
      </w:r>
    </w:p>
    <w:p>
      <w:pPr>
        <w:jc w:val="center"/>
        <w:rPr>
          <w:rFonts w:ascii="宋体" w:eastAsia="宋体" w:hAnsi="宋体" w:cs="宋体"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b/>
          <w:bCs/>
          <w:sz w:val="52"/>
          <w:szCs w:val="52"/>
          <w:lang w:eastAsia="zh-CN"/>
        </w:rPr>
      </w:pPr>
      <w:r>
        <w:rPr>
          <w:rFonts w:ascii="新宋体" w:eastAsia="新宋体" w:hAnsi="新宋体" w:cs="新宋体" w:hint="eastAsia"/>
          <w:b/>
          <w:bCs/>
          <w:sz w:val="52"/>
          <w:szCs w:val="52"/>
          <w:lang w:eastAsia="zh-CN"/>
        </w:rPr>
        <w:t>地面安全文化建</w:t>
      </w:r>
      <w:bookmarkStart w:id="0" w:name="_GoBack"/>
      <w:bookmarkEnd w:id="0"/>
      <w:r>
        <w:rPr>
          <w:rFonts w:ascii="新宋体" w:eastAsia="新宋体" w:hAnsi="新宋体" w:cs="新宋体" w:hint="eastAsia"/>
          <w:b/>
          <w:bCs/>
          <w:sz w:val="52"/>
          <w:szCs w:val="52"/>
          <w:lang w:eastAsia="zh-CN"/>
        </w:rPr>
        <w:t>设图片</w:t>
      </w: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num="1" w:space="425"/>
          <w:titlePg w:val="0"/>
          <w:docGrid w:type="lines" w:linePitch="312" w:charSpace="0"/>
        </w:sectPr>
      </w:pPr>
    </w:p>
    <w:p>
      <w:pPr>
        <w:spacing w:before="0"/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新宋体" w:eastAsia="新宋体" w:hAnsi="新宋体" w:cs="新宋体" w:hint="eastAsia"/>
          <w:sz w:val="52"/>
          <w:szCs w:val="52"/>
          <w:lang w:val="en-US" w:eastAsia="zh-CN"/>
        </w:rPr>
        <w:t>XXXXXXXXXXX</w:t>
      </w: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新宋体" w:eastAsia="新宋体" w:hAnsi="新宋体" w:cs="新宋体" w:hint="eastAsia"/>
          <w:sz w:val="52"/>
          <w:szCs w:val="52"/>
          <w:lang w:val="en-US" w:eastAsia="zh-CN"/>
        </w:rPr>
        <w:t>XXXXXX</w:t>
      </w:r>
      <w:r>
        <w:rPr>
          <w:rFonts w:ascii="新宋体" w:eastAsia="新宋体" w:hAnsi="新宋体" w:cs="新宋体" w:hint="eastAsia"/>
          <w:sz w:val="52"/>
          <w:szCs w:val="52"/>
          <w:lang w:eastAsia="zh-CN"/>
        </w:rPr>
        <w:t>煤矿</w:t>
      </w: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新宋体" w:eastAsia="新宋体" w:hAnsi="新宋体" w:cs="新宋体" w:hint="eastAsia"/>
          <w:sz w:val="52"/>
          <w:szCs w:val="52"/>
          <w:lang w:eastAsia="zh-CN"/>
        </w:rPr>
        <w:t>第二季度</w:t>
      </w: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新宋体" w:eastAsia="新宋体" w:hAnsi="新宋体" w:cs="新宋体" w:hint="eastAsia"/>
          <w:sz w:val="52"/>
          <w:szCs w:val="52"/>
          <w:lang w:eastAsia="zh-CN"/>
        </w:rPr>
        <w:t>隐患排查治理分析报告</w:t>
      </w: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</w:p>
    <w:p>
      <w:pPr>
        <w:spacing w:before="0"/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both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</w:p>
    <w:p>
      <w:pPr>
        <w:jc w:val="center"/>
        <w:rPr>
          <w:rFonts w:ascii="宋体" w:eastAsia="宋体" w:hAnsi="宋体" w:cs="宋体" w:hint="eastAsia"/>
          <w:sz w:val="44"/>
          <w:szCs w:val="44"/>
          <w:lang w:val="en-US" w:eastAsia="zh-CN"/>
        </w:rPr>
        <w:sectPr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新宋体" w:eastAsia="新宋体" w:hAnsi="新宋体" w:cs="新宋体" w:hint="eastAsia"/>
          <w:sz w:val="44"/>
          <w:szCs w:val="44"/>
          <w:lang w:val="en-US" w:eastAsia="zh-CN"/>
        </w:rPr>
        <w:t>2017年</w:t>
      </w:r>
    </w:p>
    <w:p>
      <w:pPr>
        <w:spacing w:before="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第二季度</w:t>
      </w:r>
      <w:r>
        <w:rPr>
          <w:rFonts w:ascii="新宋体" w:eastAsia="新宋体" w:hAnsi="新宋体" w:cs="新宋体" w:hint="eastAsia"/>
          <w:sz w:val="28"/>
          <w:szCs w:val="28"/>
        </w:rPr>
        <w:t>隐患排查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治理分析</w:t>
      </w:r>
      <w:r>
        <w:rPr>
          <w:rFonts w:ascii="新宋体" w:eastAsia="新宋体" w:hAnsi="新宋体" w:cs="新宋体" w:hint="eastAsia"/>
          <w:sz w:val="28"/>
          <w:szCs w:val="28"/>
        </w:rPr>
        <w:t>报告</w:t>
      </w:r>
    </w:p>
    <w:p>
      <w:pPr>
        <w:ind w:firstLine="560" w:firstLineChars="20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为全面贯彻落实</w:t>
      </w:r>
      <w:r>
        <w:rPr>
          <w:rFonts w:ascii="新宋体" w:eastAsia="新宋体" w:hAnsi="新宋体" w:cs="新宋体" w:hint="eastAsia"/>
          <w:sz w:val="28"/>
          <w:szCs w:val="28"/>
        </w:rPr>
        <w:t>建立风险管控和隐患排查治理双重预防机制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要求，进一步落实企业主体责任，深化巩固隐患排查治理成果，有效遏制重特大事故的发生，我矿建立健全了事故隐患排查治理责任体系；在安全风险分级管控、安全风险辨识评估、事故隐患排查治理责任体系的基础上，我矿制定了事故隐患排查计划，明确了排查内容和排查频次，确定了事故隐患排查必须覆盖生产各系统和各岗位，全方位不留死角的工作目标；针对排查出的事故隐患实施分级治理，不同等级的事故隐患由相应层级的单位（部门）负责，事故隐患治理按照责任、措施、资金、时限和预案“五落实”，重大事故隐患治理方案由矿长负责组织制定并实施</w:t>
      </w:r>
      <w:r>
        <w:rPr>
          <w:rFonts w:ascii="新宋体" w:eastAsia="新宋体" w:hAnsi="新宋体" w:cs="新宋体" w:hint="eastAsia"/>
          <w:sz w:val="28"/>
          <w:szCs w:val="28"/>
        </w:rPr>
        <w:t>，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并每月及时公示了事故隐患分布、治理情况，接受从业人员的监督。</w:t>
      </w:r>
      <w:r>
        <w:rPr>
          <w:rFonts w:ascii="新宋体" w:eastAsia="新宋体" w:hAnsi="新宋体" w:cs="新宋体" w:hint="eastAsia"/>
          <w:sz w:val="28"/>
          <w:szCs w:val="28"/>
        </w:rPr>
        <w:t>现将201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7</w:t>
      </w:r>
      <w:r>
        <w:rPr>
          <w:rFonts w:ascii="新宋体" w:eastAsia="新宋体" w:hAnsi="新宋体" w:cs="新宋体" w:hint="eastAsia"/>
          <w:sz w:val="28"/>
          <w:szCs w:val="28"/>
        </w:rPr>
        <w:t>年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第二季度</w:t>
      </w:r>
      <w:r>
        <w:rPr>
          <w:rFonts w:ascii="新宋体" w:eastAsia="新宋体" w:hAnsi="新宋体" w:cs="新宋体" w:hint="eastAsia"/>
          <w:sz w:val="28"/>
          <w:szCs w:val="28"/>
        </w:rPr>
        <w:t>隐患排查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治理</w:t>
      </w:r>
      <w:r>
        <w:rPr>
          <w:rFonts w:ascii="新宋体" w:eastAsia="新宋体" w:hAnsi="新宋体" w:cs="新宋体" w:hint="eastAsia"/>
          <w:sz w:val="28"/>
          <w:szCs w:val="28"/>
        </w:rPr>
        <w:t>分析报告如下： </w:t>
      </w:r>
    </w:p>
    <w:p>
      <w:pPr>
        <w:ind w:firstLine="560" w:firstLineChars="20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一、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第二季度</w:t>
      </w:r>
      <w:r>
        <w:rPr>
          <w:rFonts w:ascii="新宋体" w:eastAsia="新宋体" w:hAnsi="新宋体" w:cs="新宋体" w:hint="eastAsia"/>
          <w:sz w:val="28"/>
          <w:szCs w:val="28"/>
        </w:rPr>
        <w:t>隐患排查治理情况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根据我矿</w:t>
      </w:r>
      <w:r>
        <w:rPr>
          <w:rFonts w:ascii="新宋体" w:eastAsia="新宋体" w:hAnsi="新宋体" w:cs="新宋体" w:hint="eastAsia"/>
          <w:sz w:val="28"/>
          <w:szCs w:val="28"/>
        </w:rPr>
        <w:t>事故隐患排查治理责任体系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的要求</w:t>
      </w:r>
      <w:r>
        <w:rPr>
          <w:rFonts w:ascii="新宋体" w:eastAsia="新宋体" w:hAnsi="新宋体" w:cs="新宋体" w:hint="eastAsia"/>
          <w:sz w:val="28"/>
          <w:szCs w:val="28"/>
        </w:rPr>
        <w:t>，对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每班、每天、每周和每月巡查和排查中发现的事故</w:t>
      </w:r>
      <w:r>
        <w:rPr>
          <w:rFonts w:ascii="新宋体" w:eastAsia="新宋体" w:hAnsi="新宋体" w:cs="新宋体" w:hint="eastAsia"/>
          <w:sz w:val="28"/>
          <w:szCs w:val="28"/>
        </w:rPr>
        <w:t>隐患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，建立了事故隐患排查治理台账，</w:t>
      </w:r>
      <w:r>
        <w:rPr>
          <w:rFonts w:ascii="新宋体" w:eastAsia="新宋体" w:hAnsi="新宋体" w:cs="新宋体" w:hint="eastAsia"/>
          <w:sz w:val="28"/>
          <w:szCs w:val="28"/>
        </w:rPr>
        <w:t>进行登记，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并按照</w:t>
      </w:r>
      <w:r>
        <w:rPr>
          <w:rFonts w:ascii="新宋体" w:eastAsia="新宋体" w:hAnsi="新宋体" w:cs="新宋体" w:hint="eastAsia"/>
          <w:sz w:val="28"/>
          <w:szCs w:val="28"/>
        </w:rPr>
        <w:t>责任、措施、资金、时限和预案“五落实”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的要求进行了</w:t>
      </w:r>
      <w:r>
        <w:rPr>
          <w:rFonts w:ascii="新宋体" w:eastAsia="新宋体" w:hAnsi="新宋体" w:cs="新宋体" w:hint="eastAsia"/>
          <w:sz w:val="28"/>
          <w:szCs w:val="28"/>
        </w:rPr>
        <w:t>逐条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闭环整改</w:t>
      </w:r>
      <w:r>
        <w:rPr>
          <w:rFonts w:ascii="新宋体" w:eastAsia="新宋体" w:hAnsi="新宋体" w:cs="新宋体" w:hint="eastAsia"/>
          <w:sz w:val="28"/>
          <w:szCs w:val="28"/>
        </w:rPr>
        <w:t>，我矿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第二季度</w:t>
      </w:r>
      <w:r>
        <w:rPr>
          <w:rFonts w:ascii="新宋体" w:eastAsia="新宋体" w:hAnsi="新宋体" w:cs="新宋体" w:hint="eastAsia"/>
          <w:sz w:val="28"/>
          <w:szCs w:val="28"/>
        </w:rPr>
        <w:t>（201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7</w:t>
      </w:r>
      <w:r>
        <w:rPr>
          <w:rFonts w:ascii="新宋体" w:eastAsia="新宋体" w:hAnsi="新宋体" w:cs="新宋体" w:hint="eastAsia"/>
          <w:sz w:val="28"/>
          <w:szCs w:val="28"/>
        </w:rPr>
        <w:t>年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4</w:t>
      </w:r>
      <w:r>
        <w:rPr>
          <w:rFonts w:ascii="新宋体" w:eastAsia="新宋体" w:hAnsi="新宋体" w:cs="新宋体" w:hint="eastAsia"/>
          <w:sz w:val="28"/>
          <w:szCs w:val="28"/>
        </w:rPr>
        <w:t>月1日-201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7</w:t>
      </w:r>
      <w:r>
        <w:rPr>
          <w:rFonts w:ascii="新宋体" w:eastAsia="新宋体" w:hAnsi="新宋体" w:cs="新宋体" w:hint="eastAsia"/>
          <w:sz w:val="28"/>
          <w:szCs w:val="28"/>
        </w:rPr>
        <w:t>年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6</w:t>
      </w:r>
      <w:r>
        <w:rPr>
          <w:rFonts w:ascii="新宋体" w:eastAsia="新宋体" w:hAnsi="新宋体" w:cs="新宋体" w:hint="eastAsia"/>
          <w:sz w:val="28"/>
          <w:szCs w:val="28"/>
        </w:rPr>
        <w:t>月3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0</w:t>
      </w:r>
      <w:r>
        <w:rPr>
          <w:rFonts w:ascii="新宋体" w:eastAsia="新宋体" w:hAnsi="新宋体" w:cs="新宋体" w:hint="eastAsia"/>
          <w:sz w:val="28"/>
          <w:szCs w:val="28"/>
        </w:rPr>
        <w:t>日），共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巡查和</w:t>
      </w:r>
      <w:r>
        <w:rPr>
          <w:rFonts w:ascii="新宋体" w:eastAsia="新宋体" w:hAnsi="新宋体" w:cs="新宋体" w:hint="eastAsia"/>
          <w:sz w:val="28"/>
          <w:szCs w:val="28"/>
        </w:rPr>
        <w:t>排查出安全隐患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633</w:t>
      </w:r>
      <w:r>
        <w:rPr>
          <w:rFonts w:ascii="新宋体" w:eastAsia="新宋体" w:hAnsi="新宋体" w:cs="新宋体" w:hint="eastAsia"/>
          <w:sz w:val="28"/>
          <w:szCs w:val="28"/>
        </w:rPr>
        <w:t>条，已整改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633</w:t>
      </w:r>
      <w:r>
        <w:rPr>
          <w:rFonts w:ascii="新宋体" w:eastAsia="新宋体" w:hAnsi="新宋体" w:cs="新宋体" w:hint="eastAsia"/>
          <w:sz w:val="28"/>
          <w:szCs w:val="28"/>
        </w:rPr>
        <w:t>条，整改率为100%。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具体情况见下表</w:t>
      </w:r>
    </w:p>
    <w:p>
      <w:pPr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  <w:sectPr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440" w:right="1800" w:bottom="1440" w:left="1800" w:header="851" w:footer="992" w:gutter="0"/>
          <w:pgNumType w:start="4"/>
          <w:cols w:num="1" w:space="425"/>
          <w:docGrid w:type="lines" w:linePitch="312" w:charSpace="0"/>
        </w:sectPr>
      </w:pPr>
    </w:p>
    <w:p>
      <w:pPr>
        <w:spacing w:before="0"/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</w:pPr>
    </w:p>
    <w:p>
      <w:pPr>
        <w:ind w:firstLine="2240" w:firstLineChars="80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2017年第二季度隐患排查统计表</w:t>
      </w:r>
    </w:p>
    <w:tbl>
      <w:tblPr>
        <w:tblStyle w:val="TableGrid"/>
        <w:tblW w:w="8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896"/>
        <w:gridCol w:w="804"/>
        <w:gridCol w:w="804"/>
        <w:gridCol w:w="864"/>
        <w:gridCol w:w="816"/>
        <w:gridCol w:w="1008"/>
        <w:gridCol w:w="978"/>
      </w:tblGrid>
      <w:tr>
        <w:tblPrEx>
          <w:tblW w:w="852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排查类别</w:t>
            </w:r>
          </w:p>
        </w:tc>
        <w:tc>
          <w:tcPr>
            <w:tcW w:w="1896" w:type="dxa"/>
          </w:tcPr>
          <w:p>
            <w:pP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上级集团公司</w:t>
            </w:r>
          </w:p>
        </w:tc>
        <w:tc>
          <w:tcPr>
            <w:tcW w:w="804" w:type="dxa"/>
          </w:tcPr>
          <w:p>
            <w:pP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月度</w:t>
            </w:r>
          </w:p>
        </w:tc>
        <w:tc>
          <w:tcPr>
            <w:tcW w:w="804" w:type="dxa"/>
          </w:tcPr>
          <w:p>
            <w:pP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每周</w:t>
            </w:r>
          </w:p>
        </w:tc>
        <w:tc>
          <w:tcPr>
            <w:tcW w:w="864" w:type="dxa"/>
          </w:tcPr>
          <w:p>
            <w:pP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每天</w:t>
            </w:r>
          </w:p>
        </w:tc>
        <w:tc>
          <w:tcPr>
            <w:tcW w:w="816" w:type="dxa"/>
          </w:tcPr>
          <w:p>
            <w:pP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每班</w:t>
            </w:r>
          </w:p>
        </w:tc>
        <w:tc>
          <w:tcPr>
            <w:tcW w:w="1008" w:type="dxa"/>
          </w:tcPr>
          <w:p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78" w:type="dxa"/>
          </w:tcPr>
          <w:p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2" w:type="dxa"/>
          </w:tcPr>
          <w:p>
            <w:pPr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隐患条数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804" w:type="dxa"/>
          </w:tcPr>
          <w:p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804" w:type="dxa"/>
          </w:tcPr>
          <w:p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177</w:t>
            </w:r>
          </w:p>
        </w:tc>
        <w:tc>
          <w:tcPr>
            <w:tcW w:w="864" w:type="dxa"/>
          </w:tcPr>
          <w:p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182</w:t>
            </w:r>
          </w:p>
        </w:tc>
        <w:tc>
          <w:tcPr>
            <w:tcW w:w="1008" w:type="dxa"/>
          </w:tcPr>
          <w:p>
            <w:pPr>
              <w:ind w:firstLine="280" w:firstLineChars="100"/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633</w:t>
            </w:r>
          </w:p>
        </w:tc>
        <w:tc>
          <w:tcPr>
            <w:tcW w:w="978" w:type="dxa"/>
          </w:tcPr>
          <w:p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 xml:space="preserve">   通过对第二季度排查的事故隐患统计分析可知：隐患条数较上个月有所减少。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统计过程中发现每周和月度排查后较其他时间，每周和每班的事故隐患条数有明显减少，隐患等级由所下降。</w:t>
      </w:r>
    </w:p>
    <w:p>
      <w:pPr>
        <w:numPr>
          <w:ilvl w:val="0"/>
          <w:numId w:val="1"/>
        </w:numPr>
        <w:ind w:firstLine="560" w:firstLineChars="20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第二季度</w:t>
      </w:r>
      <w:r>
        <w:rPr>
          <w:rFonts w:ascii="新宋体" w:eastAsia="新宋体" w:hAnsi="新宋体" w:cs="新宋体" w:hint="eastAsia"/>
          <w:sz w:val="28"/>
          <w:szCs w:val="28"/>
        </w:rPr>
        <w:t>隐患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治理分析</w:t>
      </w:r>
      <w:r>
        <w:rPr>
          <w:rFonts w:ascii="新宋体" w:eastAsia="新宋体" w:hAnsi="新宋体" w:cs="新宋体" w:hint="eastAsia"/>
          <w:sz w:val="28"/>
          <w:szCs w:val="28"/>
        </w:rPr>
        <w:t>： </w:t>
      </w:r>
    </w:p>
    <w:p>
      <w:pPr>
        <w:numPr>
          <w:ilvl w:val="0"/>
          <w:numId w:val="0"/>
        </w:numPr>
        <w:jc w:val="center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事故隐患分析表说明</w:t>
      </w:r>
    </w:p>
    <w:p>
      <w:pPr>
        <w:numPr>
          <w:ilvl w:val="0"/>
          <w:numId w:val="0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隐患分级内容：A级隐患是指整改难度大，生产经营单位解决不了，需由业务板块（专业化公司、事业部）和集团帮助组织整改的隐患；B级隐患是指难度较大，单位战线解决不了，需由生产经营单位组织整改的隐患；C级隐患是指整改难度一般，区队（分厂、车间）解决不了，需由单位战线组织整改的隐患；D级隐患是指整改难度较小，班组解决不了，需由区队（分厂、车间）组织整改的隐患；E级隐患是指班组能够现场立即整改的隐患。</w:t>
      </w:r>
    </w:p>
    <w:p>
      <w:pPr>
        <w:numPr>
          <w:ilvl w:val="0"/>
          <w:numId w:val="0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eastAsia="zh-CN"/>
        </w:rPr>
        <w:sectPr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隐患分类大致分10类。1通风、2瓦斯、3煤尘、4防灭火、5爆破、6防水、7机电、8运输、9顶板、10其他。</w:t>
      </w:r>
    </w:p>
    <w:p>
      <w:pPr>
        <w:numPr>
          <w:ilvl w:val="0"/>
          <w:numId w:val="0"/>
        </w:numPr>
        <w:spacing w:before="0"/>
        <w:ind w:firstLine="560" w:firstLineChars="200"/>
        <w:jc w:val="center"/>
        <w:rPr>
          <w:rFonts w:ascii="仿宋" w:eastAsia="仿宋" w:hAnsi="仿宋" w:cs="仿宋"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0" w:firstLineChars="200"/>
        <w:jc w:val="center"/>
        <w:rPr>
          <w:rFonts w:ascii="仿宋" w:eastAsia="仿宋" w:hAnsi="仿宋" w:cs="仿宋"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0" w:firstLineChars="200"/>
        <w:jc w:val="center"/>
        <w:rPr>
          <w:rFonts w:ascii="仿宋" w:eastAsia="仿宋" w:hAnsi="仿宋" w:cs="仿宋"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0" w:firstLineChars="200"/>
        <w:jc w:val="center"/>
        <w:rPr>
          <w:rFonts w:ascii="仿宋" w:eastAsia="仿宋" w:hAnsi="仿宋" w:cs="仿宋"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0" w:firstLineChars="200"/>
        <w:jc w:val="center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第二季度事故隐患分析表</w:t>
      </w:r>
    </w:p>
    <w:tbl>
      <w:tblPr>
        <w:tblStyle w:val="TableGrid"/>
        <w:tblW w:w="903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44"/>
        <w:gridCol w:w="1380"/>
        <w:gridCol w:w="4188"/>
        <w:gridCol w:w="1296"/>
      </w:tblGrid>
      <w:tr>
        <w:tblPrEx>
          <w:tblW w:w="903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事故类别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事故条数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隐患分级情况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占比（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%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W w:w="90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运输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C级4条、D级19条、E级91条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W w:w="90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顶板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C级2条、D级10条、E级45条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>
        <w:tblPrEx>
          <w:tblW w:w="90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机电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C级3条、D级14条、E级78条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W w:w="90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瓦斯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D级6条、E级19条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W w:w="90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通风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C级2条、D级12条、E级49条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W w:w="90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煤尘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C级1条、D级15条、E级42条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</w:tbl>
    <w:p>
      <w:pPr>
        <w:sectPr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tbl>
      <w:tblPr>
        <w:tblStyle w:val="TableGrid"/>
        <w:tblW w:w="903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44"/>
        <w:gridCol w:w="1380"/>
        <w:gridCol w:w="4188"/>
        <w:gridCol w:w="1296"/>
      </w:tblGrid>
      <w:tr>
        <w:tblPrEx>
          <w:tblW w:w="903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防灭火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D级6条、E级32条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>
        <w:tblPrEx>
          <w:tblW w:w="90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爆破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C级1条、D级14条、E级29条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W w:w="90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防水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C级3条、D级16条、E级57条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>
        <w:tblPrEx>
          <w:tblW w:w="90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4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D级12条、E级51条</w:t>
            </w:r>
          </w:p>
        </w:tc>
        <w:tc>
          <w:tcPr>
            <w:tcW w:w="12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ascii="仿宋" w:eastAsia="仿宋" w:hAnsi="仿宋" w:cs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</w:tbl>
    <w:p>
      <w:pPr>
        <w:ind w:firstLine="560" w:firstLineChars="20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新宋体" w:eastAsia="新宋体" w:hAnsi="新宋体" w:cs="新宋体" w:hint="eastAsia"/>
          <w:sz w:val="28"/>
          <w:szCs w:val="28"/>
        </w:rPr>
        <w:t>第二季度事故隐患分析表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和事故隐患统计过程中发现</w:t>
      </w:r>
      <w:r>
        <w:rPr>
          <w:rFonts w:ascii="新宋体" w:eastAsia="新宋体" w:hAnsi="新宋体" w:cs="新宋体" w:hint="eastAsia"/>
          <w:sz w:val="28"/>
          <w:szCs w:val="28"/>
        </w:rPr>
        <w:t>，主要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事故隐患</w:t>
      </w:r>
      <w:r>
        <w:rPr>
          <w:rFonts w:ascii="新宋体" w:eastAsia="新宋体" w:hAnsi="新宋体" w:cs="新宋体" w:hint="eastAsia"/>
          <w:sz w:val="28"/>
          <w:szCs w:val="28"/>
        </w:rPr>
        <w:t>反映在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运输、机电、通风和防治水</w:t>
      </w:r>
      <w:r>
        <w:rPr>
          <w:rFonts w:ascii="新宋体" w:eastAsia="新宋体" w:hAnsi="新宋体" w:cs="新宋体" w:hint="eastAsia"/>
          <w:sz w:val="28"/>
          <w:szCs w:val="28"/>
        </w:rPr>
        <w:t>等方面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，现将第二季度隐患集中的类别进行分析如下：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1、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机电、运输方面</w:t>
      </w:r>
    </w:p>
    <w:p>
      <w:pPr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第二季度的生产任务主要集中在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XXXXX工作面综采设备拆除和XXXX工作面综采设备安装工作造成隐患偏多的原因如下：</w:t>
      </w:r>
    </w:p>
    <w:p>
      <w:pPr>
        <w:numPr>
          <w:ilvl w:val="0"/>
          <w:numId w:val="2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拆除和安装过程中主要使用绞车运输拆除的设备和需要安装的设备。</w:t>
      </w:r>
    </w:p>
    <w:p>
      <w:pPr>
        <w:numPr>
          <w:ilvl w:val="0"/>
          <w:numId w:val="2"/>
        </w:numPr>
        <w:ind w:firstLine="560" w:firstLineChars="20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XXXX采煤工作面为我矿的首采工作面，综采设备的拆除缺乏实地的经验，XXXX综采设备的安装为我矿北翼的首个采煤工作面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after="0"/>
        <w:ind w:firstLine="560" w:firstLineChars="200"/>
        <w:rPr>
          <w:rFonts w:ascii="仿宋" w:eastAsia="仿宋" w:hAnsi="仿宋" w:cs="仿宋" w:hint="eastAsia"/>
          <w:sz w:val="28"/>
          <w:szCs w:val="28"/>
        </w:rPr>
        <w:sectPr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双速绞车和调度绞车型号多、台数多和转运点多，给机电设备的管理。</w:t>
      </w:r>
    </w:p>
    <w:p>
      <w:pPr>
        <w:numPr>
          <w:ilvl w:val="0"/>
          <w:numId w:val="3"/>
        </w:numPr>
        <w:ind w:firstLine="560" w:firstLineChars="20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通风方面</w:t>
      </w:r>
    </w:p>
    <w:p>
      <w:pPr>
        <w:numPr>
          <w:ilvl w:val="0"/>
          <w:numId w:val="0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第二季度陆续新开掘进头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3个，贯通1个，造成隐患较多的原因如下：</w:t>
      </w:r>
    </w:p>
    <w:p>
      <w:pPr>
        <w:numPr>
          <w:ilvl w:val="0"/>
          <w:numId w:val="4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新宋体" w:eastAsia="新宋体" w:hAnsi="新宋体" w:cs="新宋体" w:hint="eastAsia"/>
          <w:sz w:val="28"/>
          <w:szCs w:val="28"/>
        </w:rPr>
        <w:t> </w:t>
      </w: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新开掘进工作面多，给通风管理带来困难。</w:t>
      </w:r>
    </w:p>
    <w:p>
      <w:pPr>
        <w:numPr>
          <w:ilvl w:val="0"/>
          <w:numId w:val="4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XXXX工作面综采设备拆除和XXXX工作面综采设备安装过程中，设备运输需要频繁通过一车场的4道连锁风门。</w:t>
      </w:r>
    </w:p>
    <w:p>
      <w:pPr>
        <w:numPr>
          <w:ilvl w:val="0"/>
          <w:numId w:val="4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多次安装和拆除风机。</w:t>
      </w:r>
    </w:p>
    <w:p>
      <w:pPr>
        <w:numPr>
          <w:ilvl w:val="0"/>
          <w:numId w:val="5"/>
        </w:numPr>
        <w:ind w:firstLine="560" w:firstLineChars="20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防治水</w:t>
      </w:r>
      <w:r>
        <w:rPr>
          <w:rFonts w:ascii="新宋体" w:eastAsia="新宋体" w:hAnsi="新宋体" w:cs="新宋体" w:hint="eastAsia"/>
          <w:sz w:val="28"/>
          <w:szCs w:val="28"/>
        </w:rPr>
        <w:t>方面</w:t>
      </w:r>
    </w:p>
    <w:p>
      <w:pPr>
        <w:numPr>
          <w:ilvl w:val="0"/>
          <w:numId w:val="0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eastAsia="zh-CN"/>
        </w:rPr>
        <w:t>第二季度探放水工作主要集中</w:t>
      </w: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XXXX综掘工作面，XXXX综掘工作面上部为XXXX综采工作面采空区，掘进过程中需要探放采空区内的积水。</w:t>
      </w:r>
    </w:p>
    <w:p>
      <w:pPr>
        <w:numPr>
          <w:ilvl w:val="0"/>
          <w:numId w:val="0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针对以上存在的问题，在第二季度的隐患排查治理过程中主要采取以下措施：</w:t>
      </w:r>
    </w:p>
    <w:p>
      <w:pPr>
        <w:numPr>
          <w:ilvl w:val="0"/>
          <w:numId w:val="0"/>
        </w:numPr>
        <w:ind w:firstLine="42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 xml:space="preserve">1）及时总结和分析XXXX工作面综采设备拆除和XXXX工作面综采设备安装过程出现的问题，为接下来综采设备的拆除和安装积累经验。  </w:t>
      </w:r>
    </w:p>
    <w:p>
      <w:pPr>
        <w:numPr>
          <w:ilvl w:val="0"/>
          <w:numId w:val="0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 xml:space="preserve">2）加强通风管理和探放水的管理。  </w:t>
      </w:r>
    </w:p>
    <w:p>
      <w:pPr>
        <w:numPr>
          <w:ilvl w:val="0"/>
          <w:numId w:val="0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  <w:sectPr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3）对作业人员加强劳动纪律及工作责任心教育外，对工作不到位，没有及时按照规程和措施施工的人员进行处罚。</w:t>
      </w:r>
    </w:p>
    <w:p>
      <w:pPr>
        <w:numPr>
          <w:ilvl w:val="0"/>
          <w:numId w:val="0"/>
        </w:numPr>
        <w:spacing w:before="0"/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4）利用班前会及各种安全活动搞好职工安全作业教育、培训工作，提高职工安全意识和自我保护能力。</w:t>
      </w:r>
    </w:p>
    <w:p>
      <w:pPr>
        <w:numPr>
          <w:ilvl w:val="0"/>
          <w:numId w:val="0"/>
        </w:numPr>
        <w:ind w:firstLine="560" w:firstLineChars="200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5）对查出的一般隐患现场安排，立即进行督促整改，并制定相应的管理办法和措施，加大处罚力度，开设“三违”学习班对“三违”人员进行培训，为第三季度矿井安全生产工作打下坚实的基础。</w:t>
      </w:r>
    </w:p>
    <w:p>
      <w:pPr>
        <w:numPr>
          <w:ilvl w:val="0"/>
          <w:numId w:val="0"/>
        </w:numPr>
        <w:jc w:val="right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 xml:space="preserve">                                       </w:t>
      </w:r>
    </w:p>
    <w:p>
      <w:pPr>
        <w:numPr>
          <w:ilvl w:val="0"/>
          <w:numId w:val="0"/>
        </w:numPr>
        <w:jc w:val="right"/>
        <w:rPr>
          <w:rFonts w:ascii="仿宋" w:eastAsia="仿宋" w:hAnsi="仿宋" w:cs="仿宋"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ascii="仿宋" w:eastAsia="仿宋" w:hAnsi="仿宋" w:cs="仿宋"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ascii="仿宋" w:eastAsia="仿宋" w:hAnsi="仿宋" w:cs="仿宋"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ascii="仿宋" w:eastAsia="仿宋" w:hAnsi="仿宋" w:cs="仿宋"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ascii="仿宋" w:eastAsia="仿宋" w:hAnsi="仿宋" w:cs="仿宋"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ascii="仿宋" w:eastAsia="仿宋" w:hAnsi="仿宋" w:cs="仿宋"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>XXXXX有限公司</w:t>
      </w:r>
    </w:p>
    <w:p>
      <w:pPr>
        <w:numPr>
          <w:ilvl w:val="0"/>
          <w:numId w:val="0"/>
        </w:numPr>
        <w:jc w:val="center"/>
        <w:rPr>
          <w:rFonts w:ascii="仿宋" w:eastAsia="仿宋" w:hAnsi="仿宋" w:cs="仿宋" w:hint="eastAsia"/>
          <w:sz w:val="28"/>
          <w:szCs w:val="28"/>
          <w:lang w:val="en-US" w:eastAsia="zh-CN"/>
        </w:rPr>
      </w:pPr>
      <w:r>
        <w:rPr>
          <w:rFonts w:ascii="新宋体" w:eastAsia="新宋体" w:hAnsi="新宋体" w:cs="新宋体" w:hint="eastAsia"/>
          <w:sz w:val="28"/>
          <w:szCs w:val="28"/>
          <w:lang w:val="en-US" w:eastAsia="zh-CN"/>
        </w:rPr>
        <w:t xml:space="preserve">                                        XXXXXX</w:t>
      </w:r>
    </w:p>
    <w:p>
      <w:pPr>
        <w:numPr>
          <w:ilvl w:val="0"/>
          <w:numId w:val="0"/>
        </w:numPr>
        <w:ind w:firstLine="5760" w:firstLineChars="1800"/>
        <w:jc w:val="both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新宋体" w:eastAsia="新宋体" w:hAnsi="新宋体" w:cs="新宋体" w:hint="eastAsia"/>
          <w:sz w:val="32"/>
          <w:szCs w:val="32"/>
          <w:lang w:val="en-US" w:eastAsia="zh-CN"/>
        </w:rPr>
        <w:t>2017年7月1日</w:t>
      </w:r>
    </w:p>
    <w:p>
      <w:pPr>
        <w:pStyle w:val="Normal0"/>
        <w:jc w:val="left"/>
        <w:rPr>
          <w:rStyle w:val="DefaultParagraphFont"/>
          <w:rFonts w:ascii="Times New Roman" w:eastAsia="Times New Roman" w:hAnsi="Times New Roman" w:cs="Times New Roman"/>
        </w:rPr>
      </w:pPr>
      <w:r>
        <w:rPr>
          <w:rStyle w:val="DefaultParagraphFont"/>
          <w:rFonts w:ascii="Times New Roman" w:eastAsia="Times New Roman" w:hAnsi="Times New Roman" w:cs="Times New Roman"/>
        </w:rPr>
        <w:t>感谢您的支持与配合，我们会努力把内容做得更好！</w:t>
      </w:r>
    </w:p>
    <w:p w:rsidR="00A77B3E">
      <w:pPr>
        <w:pStyle w:val="Normal0"/>
        <w:rPr>
          <w:rStyle w:val="DefaultParagraphFont"/>
          <w:rFonts w:ascii="Times New Roman" w:eastAsia="Times New Roman" w:hAnsi="Times New Roman" w:cs="Times New Roman"/>
        </w:rPr>
      </w:pPr>
    </w:p>
    <w:p>
      <w:pPr>
        <w:numPr>
          <w:ilvl w:val="0"/>
          <w:numId w:val="0"/>
        </w:numPr>
        <w:ind w:firstLine="5760" w:firstLineChars="1800"/>
        <w:jc w:val="both"/>
        <w:rPr>
          <w:rFonts w:ascii="仿宋" w:eastAsia="仿宋" w:hAnsi="仿宋" w:cs="仿宋" w:hint="eastAsia"/>
          <w:sz w:val="32"/>
          <w:szCs w:val="32"/>
          <w:lang w:val="en-US" w:eastAsia="zh-CN"/>
        </w:rPr>
      </w:pPr>
    </w:p>
    <w:sectPr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type w:val="nextPage"/>
      <w:pgSz w:w="11906" w:h="16838"/>
      <w:pgMar w:top="1440" w:right="1800" w:bottom="1440" w:left="1800" w:header="851" w:footer="992" w:gutter="0"/>
      <w:pgNumType w:start="9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蒙文新五体">
    <w:altName w:val="RomanS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精品word文档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宋体" w:eastAsia="宋体" w:hAnsi="宋体" w:cs="宋体"/>
        <w:color w:val="C0C0C0"/>
        <w:sz w:val="18"/>
      </w:rPr>
    </w:pPr>
    <w:r>
      <w:rPr>
        <w:rFonts w:ascii="宋体" w:eastAsia="宋体" w:hAnsi="宋体" w:cs="宋体"/>
        <w:color w:val="C0C0C0"/>
        <w:sz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6E243"/>
    <w:multiLevelType w:val="singleLevel"/>
    <w:tmpl w:val="5956E243"/>
    <w:lvl w:ilvl="0">
      <w:start w:val="2"/>
      <w:numFmt w:val="decimal"/>
      <w:suff w:val="nothing"/>
      <w:lvlText w:val="%1、"/>
      <w:lvlJc w:val="left"/>
    </w:lvl>
  </w:abstractNum>
  <w:abstractNum w:abstractNumId="1">
    <w:nsid w:val="5956FC80"/>
    <w:multiLevelType w:val="singleLevel"/>
    <w:tmpl w:val="5956FC80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9570A4F"/>
    <w:multiLevelType w:val="singleLevel"/>
    <w:tmpl w:val="59570A4F"/>
    <w:lvl w:ilvl="0">
      <w:start w:val="1"/>
      <w:numFmt w:val="decimal"/>
      <w:suff w:val="nothing"/>
      <w:lvlText w:val="%1）"/>
      <w:lvlJc w:val="left"/>
    </w:lvl>
  </w:abstractNum>
  <w:abstractNum w:abstractNumId="3">
    <w:nsid w:val="59570CDF"/>
    <w:multiLevelType w:val="singleLevel"/>
    <w:tmpl w:val="59570CDF"/>
    <w:lvl w:ilvl="0">
      <w:start w:val="1"/>
      <w:numFmt w:val="decimal"/>
      <w:suff w:val="nothing"/>
      <w:lvlText w:val="%1）"/>
      <w:lvlJc w:val="left"/>
    </w:lvl>
  </w:abstractNum>
  <w:abstractNum w:abstractNumId="4">
    <w:nsid w:val="59570DF8"/>
    <w:multiLevelType w:val="singleLevel"/>
    <w:tmpl w:val="59570DF8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pPr>
      <w:spacing w:after="0" w:line="240" w:lineRule="auto"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header" Target="header16.xml" /><Relationship Id="rId36" Type="http://schemas.openxmlformats.org/officeDocument/2006/relationships/header" Target="header17.xml" /><Relationship Id="rId37" Type="http://schemas.openxmlformats.org/officeDocument/2006/relationships/footer" Target="footer16.xml" /><Relationship Id="rId38" Type="http://schemas.openxmlformats.org/officeDocument/2006/relationships/footer" Target="footer17.xml" /><Relationship Id="rId39" Type="http://schemas.openxmlformats.org/officeDocument/2006/relationships/header" Target="header18.xml" /><Relationship Id="rId4" Type="http://schemas.openxmlformats.org/officeDocument/2006/relationships/customXml" Target="../customXml/item1.xml" /><Relationship Id="rId40" Type="http://schemas.openxmlformats.org/officeDocument/2006/relationships/footer" Target="footer18.xm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header" Target="header22.xml" /><Relationship Id="rId48" Type="http://schemas.openxmlformats.org/officeDocument/2006/relationships/header" Target="header23.xml" /><Relationship Id="rId49" Type="http://schemas.openxmlformats.org/officeDocument/2006/relationships/footer" Target="footer22.xml" /><Relationship Id="rId5" Type="http://schemas.openxmlformats.org/officeDocument/2006/relationships/header" Target="header1.xml" /><Relationship Id="rId50" Type="http://schemas.openxmlformats.org/officeDocument/2006/relationships/footer" Target="footer23.xml" /><Relationship Id="rId51" Type="http://schemas.openxmlformats.org/officeDocument/2006/relationships/header" Target="header24.xml" /><Relationship Id="rId52" Type="http://schemas.openxmlformats.org/officeDocument/2006/relationships/footer" Target="footer24.xml" /><Relationship Id="rId53" Type="http://schemas.openxmlformats.org/officeDocument/2006/relationships/header" Target="header25.xml" /><Relationship Id="rId54" Type="http://schemas.openxmlformats.org/officeDocument/2006/relationships/header" Target="header26.xml" /><Relationship Id="rId55" Type="http://schemas.openxmlformats.org/officeDocument/2006/relationships/footer" Target="footer25.xml" /><Relationship Id="rId56" Type="http://schemas.openxmlformats.org/officeDocument/2006/relationships/footer" Target="footer26.xml" /><Relationship Id="rId57" Type="http://schemas.openxmlformats.org/officeDocument/2006/relationships/header" Target="header27.xml" /><Relationship Id="rId58" Type="http://schemas.openxmlformats.org/officeDocument/2006/relationships/footer" Target="footer27.xml" /><Relationship Id="rId59" Type="http://schemas.openxmlformats.org/officeDocument/2006/relationships/theme" Target="theme/theme1.xml" /><Relationship Id="rId6" Type="http://schemas.openxmlformats.org/officeDocument/2006/relationships/header" Target="header2.xml" /><Relationship Id="rId60" Type="http://schemas.openxmlformats.org/officeDocument/2006/relationships/numbering" Target="numbering.xml" /><Relationship Id="rId61" Type="http://schemas.openxmlformats.org/officeDocument/2006/relationships/styles" Target="styles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2018-01-22T23:03:39Z</cp:lastPrinted>
  <dcterms:created xsi:type="dcterms:W3CDTF">2017-06-30T23:37:00Z</dcterms:created>
  <dcterms:modified xsi:type="dcterms:W3CDTF">2018-01-22T23:05:03Z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