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ackground w:color="FFFFFF"/>
  <w:body>
    <!-- Created by docx4j 8.2.8 (Apache licensed) using ORACLE_JRE JAXB in Oracle Java 1.8.0_45 on Linux -->
    <w:p>
      <w:pPr>
        <w:pStyle w:val="Heading1"/>
        <w:spacing w:line="360" w:lineRule="auto"/>
        <w:ind/>
      </w:pPr>
      <w:r>
        <w:rPr>
          <w:rFonts w:hint="eastAsia"/>
          <w:noProof/>
          <w:sz w:val="39"/>
        </w:rPr>
        <w:t>《天然气公司天然气计量表采购合同》</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甲方（采购方）：</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公司名称：[天然气公司全称]</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法定代表人：[法人姓名]</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地址：[公司地址]</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联系电话：[联系电话]</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乙方（供货方）：</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公司名称：[计量表生产/销售公司全称]</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法定代表人：[法人姓名]</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地址：[公司地址]</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联系电话：[联系电话]</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鉴于甲方因天然气计量及收费业务需求，拟向乙方采购天然气计量表，双方依据《中华人民共和国民法典》等相关法律法规，经友好协商，达成如下采购合同：</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一、产品名称、规格、数量及价格</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1. 产品名称：天然气计量表</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2. 产品规格：</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 型号：[具体型号，注明其测量范围、精度等级、压力等级、连接口径等关键技术参数，例如：XX 型计量表，测量范围为[X]立方米/小时 - [X]立方米/小时，精度等级为[X]级，压力等级为[X]MPa，连接口径为 DN[X]]</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 计量原理：[如膜式燃气表、涡轮流量计、罗茨流量计等计量原理说明]</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 显示方式：[具备直观的数字显示或其他符合标准的显示形式，显示内容包括累计流量、瞬时流量等]</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 数据传输功能（如有）：[说明是否具备数据远传功能，如采用的通信协议（如 M-Bus、RS485 等）、传输距离、数据更新频率等]</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3. 采购数量：[X]台</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4. 产品单价：人民币[X]元/台（此单价为含税价，包含产品生产制造、检验校准、标准配件（如连接管件、封印等）、产品包装等费用，但不包括运输费用、安装费用及售后服务费用中超出质保期的部分）</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5. 合同总价：人民币[X]元（大写：[大写金额]整，总价 = 产品单价 × 采购数量）</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二、产品质量标准</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1. 乙方所供应的天然气计量表应符合国家现行的有关天然气计量表的标准及规范要求，如《膜式燃气表》（GB/T 26794）、《涡轮流量计》（JB/T 9246）、《罗茨流量计》（JB/T 9247）等相关标准，以及甲方提出的特定技术要求（如有）。计量表应具备准确可靠的计量性能，在规定的使用条件下，其测量误差应符合国家规定的精度等级要求，且在长期运行过程中应保持计量稳定性，误差漂移范围应控制在允许的范围内。</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2. 产品的材质应符合相关标准，具有良好的耐腐蚀性、密封性和机械强度，能够适应天然气的介质特性和工作压力环境。计量表应配备有效的封印装置，防止未经授权的篡改或破坏，确保计量数据的真实性和可靠性。乙方应提供产品的质量证明文件，包括但不限于产品合格证、质量检验报告、计量器具型式批准证书、校准证书等，以证明所供应的计量表符合质量标准要求。若甲方对产品质量有异议，有权要求乙方提供第三方权威检测机构出具的检测报告，检测费用由责任方承担。</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三、产品包装及运输</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1. 产品包装：乙方应采用适当的包装材料和包装方式对天然气计量表进行包装，确保产品在运输和储存过程中不受损坏。包装应具有防潮、防震、防碰撞等功能，并在包装表面标注清晰的产品名称、型号、数量、生产厂家、生产日期等信息，以及向上、易碎、防雨等警示标识。对于计量表的敏感部件（如传感器、计数器等）应进行特殊防护。</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2. 运输方式：由[运输方式，如乙方负责汽运/甲方自提等]运输至甲方指定地点。若由乙方负责运输，乙方应选择具有相应资质和良好信誉的运输公司，并承担运输过程中的风险和费用。运输途中的货物保险由[具体承担方]负责办理，保险费用由[保险费用承担方]承担。</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3. 交货地点：甲方指定的仓库或天然气工程现场，具体地址为[详细交货地址]。</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4. 交货时间：乙方应在合同签订后的[X]天内完成生产并交付产品。如因乙方原因导致交货延迟，每延迟一天，乙方应按照合同总价的[X%]向甲方支付违约金，并承担由此给甲方造成的全部损失，包括但不限于因计量表延迟交付导致天然气计量业务延误的经济损失、对下游用户的计量纠纷赔偿等。</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四、产品验收</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1. 验收方式：甲方在收到货物后的[X]个工作日内进行验收。验收包括外观检查、规格型号核对、质量证明文件审查、计量性能测试（采用标准气体或其他合法的校准方法进行抽检，抽检比例按照相关标准或双方约定执行）以及必要时的抽样检验（对产品的材质、工艺等进行检查）。如发现产品存在质量问题、数量短缺或与合同约定不符等情况，甲方应及时通知乙方，乙方应在接到通知后的[X]个工作日内予以处理并回复甲方。</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2. 验收标准：以本合同约定的产品质量标准及国家相关标准为依据进行验收。如乙方对甲方的验收结果有异议，双方可共同委托第三方检测机构进行检测，检测结果为最终验收依据，检测费用由责任方承担。</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3. 质量异议期：自产品验收合格之日起[质量保证期时长]内，如甲方发现产品存在质量问题，乙方应负责免费维修、更换或退货，并承担由此产生的全部费用，包括但不限于运输费、安装费、拆卸费、因计量误差导致的经济损失（如有）等。</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五、付款方式</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1. 预付款：合同签订后[X]个工作日内，甲方向乙方支付合同总价的[预付款比例]作为预付款，即人民币[预付款金额]元（大写：[大写预付款金额]整），用于乙方采购原材料、组织生产等前期准备工作。</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2. 验收款：在产品验收合格后的[X]个工作日内，甲方向乙方支付合同总价的[验收款比例]，即人民币[验收款金额]元（大写：[大写验收款金额]整）。</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3. 质保金：合同总价的[质保金比例]作为质量保证金，即人民币[质保金金额]元（大写：[大写质保金金额]整）。在质量保证期届满且无质量问题后，甲方在[X]个工作日内无息支付给乙方。</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4. 乙方应在收到每笔款项后的[X]个工作日内，向甲方开具合法有效的发票，否则甲方有权拒绝支付下一笔款项。</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六、双方权利与义务</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（一）甲方权利义务</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1. 甲方有权按照合同约定要求乙方按时交付符合质量标准的天然气计量表，并对乙方的供货过程进行监督检查。</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2. 甲方应按照合同约定及时支付款项，如因甲方原因导致付款延迟，每延迟一天，应按照未支付金额的[X%]向乙方支付违约金，但乙方应确保产品质量和交货时间不受影响，否则仍应承担相应违约责任。</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3. 甲方应在乙方交付产品时，提供必要的卸货条件和场地，并配合乙方进行货物的交接工作。在计量表安装过程中，甲方应提供必要的协助，如提供安装场地的基础条件、协调相关外部关系等。</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4. 甲方应按照相关法律法规和标准规范要求，对天然气计量表进行使用、维护和管理，确保计量数据的准确性和合法性。在质量保证期内，如发现产品存在质量问题，应及时通知乙方并配合乙方进行维修或处理。</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（二）乙方权利义务</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1. 乙方有权按照合同约定要求甲方支付款项。</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2. 乙方应按照合同约定的时间、地点、数量、质量标准交付产品，并提供完整的质量证明文件。</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3. 乙方应保证所供应的天然气计量表为全新产品，且不存在任何权利瑕疵（如知识产权纠纷、抵押、质押等）。如因乙方产品存在权利瑕疵导致甲方遭受损失，乙方应承担全部赔偿责任。</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4. 在质量保证期内，乙方应提供免费的技术咨询和售后服务，及时响应甲方的维修、更换等需求。乙方应定期回访甲方，对计量表进行维护保养指导，确保设备正常运行。如乙方未能及时履行售后服务义务，甲方有权自行或委托第三方进行处理，相关费用从质保金中扣除，如质保金不足以支付，乙方应补足差额。</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5. 乙方应协助甲方进行计量表的首次校准（如有需要），并提供相关的技术支持和校准报告。</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七、违约责任</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1. 除本合同另有约定外，若一方违反本合同任何一项条款，应承担违约责任，向对方支付违约金人民币[X]元（大写：[大写金额]整）。如违约金不足以弥补对方因此遭受的损失，违约方还应继续赔偿对方的损失直至足额弥补为止。</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2. 如因不可抗力等不可预见、不可避免且不可克服的原因导致一方无法履行本合同部分或全部义务，该方不承担违约责任，但应在不可抗力事件发生后的[X]个工作日内书面通知对方，并提供相关证明文件。在不可抗力事件影响消除后的合理时间内，该方应继续履行本合同义务。</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八、争议解决</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本合同的签订、履行、解释及争议解决均适用中华人民共和国法律。双方在履行本合同过程中如发生争议，应首先通过友好协商解决；协商不成的，任何一方均有权向有管辖权的人民法院提起诉讼。</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 九、其他条款</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1. 本合同自双方签字（或盖章）之日起生效，一式两份，甲乙双方各执一份，具有同等法律效力。</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 xml:space="preserve">2. 本合同未尽事宜，可由双方另行协商并签订补充协议。补充协议与本合同具有同等法律效力。补充协议内容与本合同不一致的，以补充协议为准。</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甲方（盖章）：</w:t>
      </w:r>
      <w:r>
        <w:rPr>
          <w:rFonts w:hint="eastAsia" w:ascii="&quot;Segoe UI&quot;, &quot;Songti SC&quot;" w:hAnsi="&quot;Segoe UI&quot;, &quot;Songti SC&quot;" w:eastAsia="&quot;Segoe UI&quot;, &quot;Songti SC&quot;"/>
          <w:noProof/>
          <w:color w:val="1C1F23"/>
          <w:sz w:val="27"/>
          <w:highlight w:val="white"/>
          <w:u w:val="single"/>
        </w:rPr>
        <w:t>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法定代表人或授权代表（签字）：</w:t>
      </w:r>
      <w:r>
        <w:rPr>
          <w:rFonts w:hint="eastAsia" w:ascii="&quot;Segoe UI&quot;, &quot;Songti SC&quot;" w:hAnsi="&quot;Segoe UI&quot;, &quot;Songti SC&quot;" w:eastAsia="&quot;Segoe UI&quot;, &quot;Songti SC&quot;"/>
          <w:noProof/>
          <w:color w:val="1C1F23"/>
          <w:sz w:val="27"/>
          <w:highlight w:val="white"/>
          <w:u w:val="single"/>
        </w:rPr>
        <w:t>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签订日期：</w:t>
      </w:r>
      <w:r>
        <w:rPr>
          <w:rFonts w:hint="eastAsia" w:ascii="&quot;Segoe UI&quot;, &quot;Songti SC&quot;" w:hAnsi="&quot;Segoe UI&quot;, &quot;Songti SC&quot;" w:eastAsia="&quot;Segoe UI&quot;, &quot;Songti SC&quot;"/>
          <w:noProof/>
          <w:color w:val="1C1F23"/>
          <w:sz w:val="27"/>
          <w:highlight w:val="white"/>
          <w:u w:val="single"/>
        </w:rPr>
        <w:t>      </w:t>
      </w:r>
      <w:r>
        <w:rPr>
          <w:rFonts w:hint="eastAsia" w:ascii="&quot;Segoe UI&quot;, &quot;Songti SC&quot;" w:hAnsi="&quot;Segoe UI&quot;, &quot;Songti SC&quot;" w:eastAsia="&quot;Segoe UI&quot;, &quot;Songti SC&quot;"/>
          <w:noProof/>
          <w:color w:val="1C1F23"/>
          <w:sz w:val="27"/>
          <w:highlight w:val="white"/>
        </w:rPr>
        <w:t>年</w:t>
      </w:r>
      <w:r>
        <w:rPr>
          <w:rFonts w:hint="eastAsia" w:ascii="&quot;Segoe UI&quot;, &quot;Songti SC&quot;" w:hAnsi="&quot;Segoe UI&quot;, &quot;Songti SC&quot;" w:eastAsia="&quot;Segoe UI&quot;, &quot;Songti SC&quot;"/>
          <w:noProof/>
          <w:color w:val="1C1F23"/>
          <w:sz w:val="27"/>
          <w:highlight w:val="white"/>
          <w:u w:val="single"/>
        </w:rPr>
        <w:t>    </w:t>
      </w:r>
      <w:r>
        <w:rPr>
          <w:rFonts w:hint="eastAsia" w:ascii="&quot;Segoe UI&quot;, &quot;Songti SC&quot;" w:hAnsi="&quot;Segoe UI&quot;, &quot;Songti SC&quot;" w:eastAsia="&quot;Segoe UI&quot;, &quot;Songti SC&quot;"/>
          <w:noProof/>
          <w:color w:val="1C1F23"/>
          <w:sz w:val="27"/>
          <w:highlight w:val="white"/>
        </w:rPr>
        <w:t>月</w:t>
      </w:r>
      <w:r>
        <w:rPr>
          <w:rFonts w:hint="eastAsia" w:ascii="&quot;Segoe UI&quot;, &quot;Songti SC&quot;" w:hAnsi="&quot;Segoe UI&quot;, &quot;Songti SC&quot;" w:eastAsia="&quot;Segoe UI&quot;, &quot;Songti SC&quot;"/>
          <w:noProof/>
          <w:color w:val="1C1F23"/>
          <w:sz w:val="27"/>
          <w:highlight w:val="white"/>
          <w:u w:val="single"/>
        </w:rPr>
        <w:t>    </w:t>
      </w:r>
      <w:r>
        <w:rPr>
          <w:rFonts w:hint="eastAsia" w:ascii="&quot;Segoe UI&quot;, &quot;Songti SC&quot;" w:hAnsi="&quot;Segoe UI&quot;, &quot;Songti SC&quot;" w:eastAsia="&quot;Segoe UI&quot;, &quot;Songti SC&quot;"/>
          <w:noProof/>
          <w:color w:val="1C1F23"/>
          <w:sz w:val="27"/>
          <w:highlight w:val="white"/>
        </w:rPr>
        <w:t>日</w:t>
      </w:r>
    </w:p>
    <w:p>
      <w:pPr>
        <w:spacing w:line="240" w:lineRule="auto"/>
        <w:ind/>
      </w:pPr>
      <w:r>
        <w:rPr>
          <w:rFonts w:hint="eastAsia"/>
          <w:noProof/>
        </w:rPr>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乙方（盖章）：</w:t>
      </w:r>
      <w:r>
        <w:rPr>
          <w:rFonts w:hint="eastAsia" w:ascii="&quot;Segoe UI&quot;, &quot;Songti SC&quot;" w:hAnsi="&quot;Segoe UI&quot;, &quot;Songti SC&quot;" w:eastAsia="&quot;Segoe UI&quot;, &quot;Songti SC&quot;"/>
          <w:noProof/>
          <w:color w:val="1C1F23"/>
          <w:sz w:val="27"/>
          <w:highlight w:val="white"/>
          <w:u w:val="single"/>
        </w:rPr>
        <w:t>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法定代表人或授权代表（签字）：</w:t>
      </w:r>
      <w:r>
        <w:rPr>
          <w:rFonts w:hint="eastAsia" w:ascii="&quot;Segoe UI&quot;, &quot;Songti SC&quot;" w:hAnsi="&quot;Segoe UI&quot;, &quot;Songti SC&quot;" w:eastAsia="&quot;Segoe UI&quot;, &quot;Songti SC&quot;"/>
          <w:noProof/>
          <w:color w:val="1C1F23"/>
          <w:sz w:val="27"/>
          <w:highlight w:val="white"/>
          <w:u w:val="single"/>
        </w:rPr>
        <w:t>      </w:t>
      </w:r>
    </w:p>
    <w:p>
      <w:pPr>
        <w:spacing w:line="240" w:lineRule="auto"/>
        <w:ind/>
      </w:pPr>
      <w:r>
        <w:rPr>
          <w:rFonts w:hint="eastAsia" w:ascii="&quot;Segoe UI&quot;, &quot;Songti SC&quot;" w:hAnsi="&quot;Segoe UI&quot;, &quot;Songti SC&quot;" w:eastAsia="&quot;Segoe UI&quot;, &quot;Songti SC&quot;"/>
          <w:noProof/>
          <w:color w:val="1C1F23"/>
          <w:sz w:val="27"/>
          <w:highlight w:val="white"/>
        </w:rPr>
        <w:t>签订日期：</w:t>
      </w:r>
      <w:r>
        <w:rPr>
          <w:rFonts w:hint="eastAsia" w:ascii="&quot;Segoe UI&quot;, &quot;Songti SC&quot;" w:hAnsi="&quot;Segoe UI&quot;, &quot;Songti SC&quot;" w:eastAsia="&quot;Segoe UI&quot;, &quot;Songti SC&quot;"/>
          <w:noProof/>
          <w:color w:val="1C1F23"/>
          <w:sz w:val="27"/>
          <w:highlight w:val="white"/>
          <w:u w:val="single"/>
        </w:rPr>
        <w:t>      </w:t>
      </w:r>
      <w:r>
        <w:rPr>
          <w:rFonts w:hint="eastAsia" w:ascii="&quot;Segoe UI&quot;, &quot;Songti SC&quot;" w:hAnsi="&quot;Segoe UI&quot;, &quot;Songti SC&quot;" w:eastAsia="&quot;Segoe UI&quot;, &quot;Songti SC&quot;"/>
          <w:noProof/>
          <w:color w:val="1C1F23"/>
          <w:sz w:val="27"/>
          <w:highlight w:val="white"/>
        </w:rPr>
        <w:t>年</w:t>
      </w:r>
      <w:r>
        <w:rPr>
          <w:rFonts w:hint="eastAsia" w:ascii="&quot;Segoe UI&quot;, &quot;Songti SC&quot;" w:hAnsi="&quot;Segoe UI&quot;, &quot;Songti SC&quot;" w:eastAsia="&quot;Segoe UI&quot;, &quot;Songti SC&quot;"/>
          <w:noProof/>
          <w:color w:val="1C1F23"/>
          <w:sz w:val="27"/>
          <w:highlight w:val="white"/>
          <w:u w:val="single"/>
        </w:rPr>
        <w:t>    </w:t>
      </w:r>
      <w:r>
        <w:rPr>
          <w:rFonts w:hint="eastAsia" w:ascii="&quot;Segoe UI&quot;, &quot;Songti SC&quot;" w:hAnsi="&quot;Segoe UI&quot;, &quot;Songti SC&quot;" w:eastAsia="&quot;Segoe UI&quot;, &quot;Songti SC&quot;"/>
          <w:noProof/>
          <w:color w:val="1C1F23"/>
          <w:sz w:val="27"/>
          <w:highlight w:val="white"/>
        </w:rPr>
        <w:t>月</w:t>
      </w:r>
      <w:r>
        <w:rPr>
          <w:rFonts w:hint="eastAsia" w:ascii="&quot;Segoe UI&quot;, &quot;Songti SC&quot;" w:hAnsi="&quot;Segoe UI&quot;, &quot;Songti SC&quot;" w:eastAsia="&quot;Segoe UI&quot;, &quot;Songti SC&quot;"/>
          <w:noProof/>
          <w:color w:val="1C1F23"/>
          <w:sz w:val="27"/>
          <w:highlight w:val="white"/>
          <w:u w:val="single"/>
        </w:rPr>
        <w:t>    </w:t>
      </w:r>
      <w:r>
        <w:rPr>
          <w:rFonts w:hint="eastAsia" w:ascii="&quot;Segoe UI&quot;, &quot;Songti SC&quot;" w:hAnsi="&quot;Segoe UI&quot;, &quot;Songti SC&quot;" w:eastAsia="&quot;Segoe UI&quot;, &quot;Songti SC&quot;"/>
          <w:noProof/>
          <w:color w:val="1C1F23"/>
          <w:sz w:val="27"/>
          <w:highlight w:val="white"/>
        </w:rPr>
        <w:t>日</w:t>
      </w:r>
    </w:p>
    <w:p>
      <w:pPr>
        <w:spacing w:line="240" w:lineRule="auto"/>
        <w:ind/>
        <w:jc w:val="both"/>
      </w:pPr>
      <w:r>
        <w:rPr>
          <w:rFonts w:hint="eastAsia"/>
          <w:noProof/>
        </w:rPr>
        <w:t/>
      </w:r>
    </w:p>
    <w:sectPr>
      <w:type w:val="nextPage"/>
      <w:pgSz w:w="11895" w:h="16830" w:orient="portrait"/>
      <w:pgMar w:top="1440" w:right="1800" w:bottom="1440" w:left="1800" w:header="851" w:footer="992" w:gutter="0"/>
      <w:cols w:equalWidth="true" w:space="425" w:sep="false"/>
      <w:docGrid w:type="lines" w:linePitch="312"/>
    </w:sectPr>
  </w:body>
</w:document>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displayBackgroundShape/>
  <w:compat>
    <w:balanceSingleByteDoubleByteWidth/>
    <w:ulTrailSpace/>
    <w:doNotExpandShiftReturn/>
    <w:compatSetting w:name="overrideTableStyleFontSizeAndJustification" w:uri="http://schemas.microsoft.com/office/word" w:val="1"/>
    <w:compatSetting w:name="compatibilityMode" w:uri="http://schemas.microsoft.com/office/word" w:val="16"/>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pPr>
      <w:spacing w:before="0" w:beforeLines="0" w:after="0" w:afterLines="0" w:line="240"/>
      <w:jc w:val="both"/>
    </w:pPr>
    <w:rPr>
      <w:rFonts w:ascii="Calibri" w:hAnsi="Calibri" w:eastAsia="等线" w:cs="21"/>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black"/>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black"/>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black"/>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black"/>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s>

</file>

<file path=docProps/app.xml><?xml version="1.0" encoding="utf-8"?>
<properties:Properties xmlns:properties="http://schemas.openxmlformats.org/officeDocument/2006/extended-properties" xmlns:vt="http://schemas.openxmlformats.org/officeDocument/2006/docPropsVTypes">
  <properties:Company/>
  <properties:Application/>
  <properties:AppVersion>1.1</properties:AppVersion>
</properties:Properties>
</file>

<file path=docProps/core.xml><?xml version="1.0" encoding="utf-8"?>
<cp:coreProperties xmlns:cp="http://schemas.openxmlformats.org/package/2006/metadata/core-properties" xmlns:dcterms="http://purl.org/dc/terms/" xmlns:dc="http://purl.org/dc/elements/1.1/">
  <dc:creator/>
  <cp:lastModifiedBy/>
</cp:coreProperties>
</file>