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防排烟系统检测报告</w:t>
      </w:r>
    </w:p>
    <w:p>
      <w:pPr>
        <w:jc w:val="center"/>
        <w:rPr>
          <w:rFonts w:ascii="宋体"/>
          <w:sz w:val="18"/>
          <w:szCs w:val="18"/>
        </w:rPr>
      </w:pPr>
    </w:p>
    <w:tbl>
      <w:tblPr>
        <w:tblStyle w:val="3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80"/>
        <w:gridCol w:w="945"/>
        <w:gridCol w:w="980"/>
        <w:gridCol w:w="980"/>
        <w:gridCol w:w="980"/>
        <w:gridCol w:w="1680"/>
        <w:gridCol w:w="157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设计资质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施工资质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系统部位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环境温度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8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主要设备</w:t>
            </w: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名称和型号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比例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出厂日期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10"/>
                <w:sz w:val="24"/>
                <w:szCs w:val="24"/>
              </w:rPr>
            </w:pPr>
            <w:r>
              <w:rPr>
                <w:rFonts w:hint="eastAsia" w:ascii="宋体"/>
                <w:kern w:val="10"/>
                <w:sz w:val="24"/>
                <w:szCs w:val="24"/>
              </w:rPr>
              <w:t>检测结果</w:t>
            </w:r>
          </w:p>
        </w:tc>
        <w:tc>
          <w:tcPr>
            <w:tcW w:w="9674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ascii="宋体" w:hAnsi="创艺简宋体"/>
                <w:sz w:val="24"/>
              </w:rPr>
            </w:pPr>
            <w:r>
              <w:rPr>
                <w:rFonts w:hint="eastAsia" w:ascii="宋体" w:hAnsi="创艺简宋体"/>
                <w:sz w:val="24"/>
              </w:rPr>
              <w:t>A项：共检测项，合格项，不合格项</w:t>
            </w:r>
          </w:p>
          <w:p>
            <w:pPr>
              <w:spacing w:line="360" w:lineRule="auto"/>
              <w:rPr>
                <w:rFonts w:ascii="宋体" w:hAnsi="创艺简宋体"/>
                <w:sz w:val="24"/>
              </w:rPr>
            </w:pPr>
            <w:r>
              <w:rPr>
                <w:rFonts w:hint="eastAsia" w:ascii="宋体" w:hAnsi="创艺简宋体"/>
                <w:sz w:val="24"/>
              </w:rPr>
              <w:t>B项：共检测项，合格项，不合格项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创艺简宋体"/>
                <w:sz w:val="24"/>
              </w:rPr>
              <w:t>C项：共检测项，合格项，不合格项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9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96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系统主检: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检测日期:</w:t>
            </w:r>
          </w:p>
        </w:tc>
      </w:tr>
    </w:tbl>
    <w:p>
      <w:pPr>
        <w:jc w:val="center"/>
        <w:rPr>
          <w:rFonts w:ascii="宋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855" w:tblpY="559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75"/>
        <w:gridCol w:w="540"/>
        <w:gridCol w:w="4249"/>
        <w:gridCol w:w="1993"/>
        <w:gridCol w:w="1092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项    目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标准要求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检测结果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22" w:type="dxa"/>
            <w:gridSpan w:val="7"/>
            <w:noWrap w:val="0"/>
            <w:vAlign w:val="center"/>
          </w:tcPr>
          <w:p>
            <w:pPr>
              <w:pStyle w:val="2"/>
              <w:spacing w:line="240" w:lineRule="exact"/>
              <w:jc w:val="both"/>
              <w:rPr>
                <w:rFonts w:ascii="宋体" w:hAnsi="宋体" w:eastAsia="宋体"/>
                <w:b w:val="0"/>
                <w:szCs w:val="21"/>
              </w:rPr>
            </w:pPr>
            <w:r>
              <w:rPr>
                <w:rFonts w:hint="eastAsia" w:ascii="宋体" w:hAnsi="宋体" w:eastAsia="宋体"/>
                <w:b w:val="0"/>
                <w:szCs w:val="21"/>
              </w:rPr>
              <w:t>防烟装置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防烟装置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设置机械防烟设施的场所、部位、数量应符合设计要求，并符合现行国家相关规定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防烟控制柜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应有标明系统名称和编号标志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、指示灯应显示正常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应有手动、自动切换装置，开关及控制按钮应灵活可靠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防烟风机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应有标明系统名称和编号的标志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规格型号、风量应符合设计要求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传动皮带的防护罩、进风口的防护网应完好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现场启动正常，叶轮旋转方向应正确、运转平稳、无异常振动与声响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应能自动和手动控制启动相应区域的风阀、风机，且风机运转正常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送风口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送风阀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安装符合要求，安装牢固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Style w:val="5"/>
                <w:rFonts w:ascii="宋体" w:hAnsi="宋体"/>
                <w:b w:val="0"/>
                <w:bCs w:val="0"/>
                <w:snapToGrid w:val="0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snapToGrid w:val="0"/>
                <w:kern w:val="0"/>
                <w:szCs w:val="21"/>
              </w:rPr>
              <w:t>开启复位操作应灵活可靠，关闭时应严密，输出反馈信号应正确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Style w:val="5"/>
                <w:rFonts w:ascii="宋体" w:hAnsi="宋体"/>
                <w:b w:val="0"/>
                <w:bCs w:val="0"/>
                <w:snapToGrid w:val="0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snapToGrid w:val="0"/>
                <w:kern w:val="0"/>
                <w:szCs w:val="21"/>
              </w:rPr>
              <w:t>送风口的风叶无变形，动作无卡阻现象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送风管道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必须采用不燃材料，应有隔热防火措施或与可燃物保持</w:t>
            </w:r>
            <w:r>
              <w:rPr>
                <w:rFonts w:hint="eastAsia" w:ascii="宋体" w:hAnsi="宋体"/>
                <w:szCs w:val="21"/>
              </w:rPr>
              <w:t>不小于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color w:val="000000"/>
                <w:szCs w:val="21"/>
              </w:rPr>
              <w:t>mm的间距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管道表面应平整、无损坏，接管合理，风管的连接以及风管与风机连接应无明显缺陷，管道应安装牢固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采用土建风道时，与风口连接处应严密不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漏风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系统功能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输入相应的联动控制信号，应能自动启动相应区域的风阀、风机，且风机运转正常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手动启动相应区域的风阀、风机，且风机运转正常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风阀、风机动作的信号，应传至消防控制室，并能在消防联动控制器上显示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送风口的风速不应大于7m/s，风量符合要求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防烟楼梯间的余压值40Pa～50Pa，前室、合用前室、避难层余压值25Pa～30Pa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22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排烟装置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排烟装置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设置机械防烟排烟设施的场所、部位、数量应符合设计要求，并符合现行国家相关规定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自然排烟</w:t>
            </w:r>
          </w:p>
        </w:tc>
        <w:tc>
          <w:tcPr>
            <w:tcW w:w="47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建筑高度＜50m一类公共建筑、建筑高度＜100m的居住建筑，其靠外墙防烟楼梯间及其前室、消防电梯间前室和合用前室，宜采用自然排烟方式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防烟楼梯间前室、消防电梯间前室可开外窗面积＞2.0㎡，合用前室＞3.0㎡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防烟楼梯间每五层内开外窗总面积之和＞2.0㎡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长度不超过60m的内走道可外窗面积＞走道面积的2%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净空高度＜12m的中庭、剧场舞台可开外窗面积＞该地面面积的5%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排烟窗宜设置在上方，并应有方便于开启的装置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排烟控制柜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应有标明系统名称和编号标志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、指示灯应显示正常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应有手动、自动切换装置，开关及控制按钮应灵活可靠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排烟风机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应有标明系统名称和编号的标志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规格型号、风量应符合设计要求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传动皮带的防护罩、进风口的防护网应完好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现场启动正常，叶轮旋转方向应正确、运转平稳、无异常振动与声响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应能自动和手动控制启动相应区域的风阀、风机，且风机运转正常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排烟阀（口）、活动挡烟垂壁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安装符合要求，且安装牢固，方向位置正确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开启、复位操作应灵活可靠，关闭时应严密，输出反馈信号应</w:t>
            </w:r>
            <w:r>
              <w:rPr>
                <w:rStyle w:val="5"/>
                <w:rFonts w:hint="eastAsia" w:ascii="宋体" w:hAnsi="宋体"/>
                <w:b w:val="0"/>
                <w:bCs w:val="0"/>
                <w:snapToGrid w:val="0"/>
                <w:kern w:val="0"/>
                <w:szCs w:val="21"/>
              </w:rPr>
              <w:t>正确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Style w:val="5"/>
                <w:rFonts w:ascii="宋体" w:hAnsi="宋体"/>
                <w:b w:val="0"/>
                <w:bCs w:val="0"/>
                <w:snapToGrid w:val="0"/>
                <w:kern w:val="0"/>
                <w:szCs w:val="21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snapToGrid w:val="0"/>
                <w:kern w:val="0"/>
                <w:szCs w:val="21"/>
              </w:rPr>
              <w:t>排烟阀、排烟口、排烟防火阀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排烟口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排烟阀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应设在靠近顶棚上或靠近顶棚的墙上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距最远点的水平距离不应超过30m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距</w:t>
            </w:r>
            <w:r>
              <w:rPr>
                <w:rFonts w:ascii="宋体" w:hAnsi="宋体"/>
                <w:szCs w:val="21"/>
              </w:rPr>
              <w:t>安全出口最小水平距离</w:t>
            </w:r>
            <w:r>
              <w:rPr>
                <w:rFonts w:hint="eastAsia" w:ascii="宋体" w:hAnsi="宋体"/>
                <w:szCs w:val="21"/>
              </w:rPr>
              <w:t>＞</w:t>
            </w:r>
            <w:r>
              <w:rPr>
                <w:rFonts w:ascii="宋体" w:hAnsi="宋体"/>
                <w:szCs w:val="21"/>
              </w:rPr>
              <w:t>1.5m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风口连接处应严密不漏风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距可燃构件或可燃物距离</w:t>
            </w:r>
            <w:r>
              <w:rPr>
                <w:rFonts w:hint="eastAsia" w:ascii="宋体" w:hAnsi="宋体"/>
                <w:szCs w:val="21"/>
              </w:rPr>
              <w:t>＞</w:t>
            </w:r>
            <w:r>
              <w:rPr>
                <w:rFonts w:ascii="宋体" w:hAnsi="宋体"/>
                <w:szCs w:val="21"/>
              </w:rPr>
              <w:t>1.0m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排烟阀（口）平时应关闭，并应设置手动和自动开启装置 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排烟</w:t>
            </w:r>
            <w:r>
              <w:rPr>
                <w:rFonts w:hint="eastAsia" w:ascii="宋体" w:hAnsi="宋体"/>
                <w:szCs w:val="21"/>
              </w:rPr>
              <w:t>防火阀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平时</w:t>
            </w:r>
            <w:r>
              <w:rPr>
                <w:rFonts w:hint="eastAsia" w:ascii="宋体" w:hAnsi="宋体"/>
                <w:szCs w:val="21"/>
              </w:rPr>
              <w:t>应</w:t>
            </w:r>
            <w:r>
              <w:rPr>
                <w:rFonts w:ascii="宋体" w:hAnsi="宋体"/>
                <w:szCs w:val="21"/>
              </w:rPr>
              <w:t>关闭</w:t>
            </w:r>
            <w:r>
              <w:rPr>
                <w:rFonts w:hint="eastAsia" w:ascii="宋体" w:hAnsi="宋体"/>
                <w:szCs w:val="21"/>
              </w:rPr>
              <w:t>，并应设置手动和自动开启装置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b w:val="0"/>
                <w:szCs w:val="21"/>
              </w:rPr>
            </w:pPr>
            <w:r>
              <w:rPr>
                <w:rFonts w:hint="eastAsia" w:ascii="宋体" w:hAnsi="宋体" w:eastAsia="宋体"/>
                <w:b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应与排风机连锁，当任意排烟阀（口）开启时，风机应能自行启动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Style w:val="5"/>
                <w:rFonts w:hint="eastAsia" w:ascii="宋体" w:hAnsi="宋体"/>
                <w:b w:val="0"/>
                <w:szCs w:val="21"/>
              </w:rPr>
              <w:t>消防联动控制器联</w:t>
            </w:r>
            <w:r>
              <w:rPr>
                <w:rFonts w:hint="eastAsia" w:ascii="宋体" w:hAnsi="宋体"/>
                <w:szCs w:val="21"/>
              </w:rPr>
              <w:t>动控制排烟阀（口）开启时，应同时停止该防烟分区的空气调节系统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2"/>
              <w:spacing w:line="240" w:lineRule="exact"/>
              <w:rPr>
                <w:rFonts w:ascii="宋体" w:hAnsi="宋体" w:eastAsia="宋体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snapToGrid w:val="0"/>
                <w:kern w:val="0"/>
                <w:szCs w:val="21"/>
              </w:rPr>
              <w:t>挡烟垂壁应符合设计要求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防火阀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型号、规格、设计位置应符合要求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安装时，应在安装部位设置方便检修的检修孔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两侧各2.0m范围内的风管及绝热材料应采用不燃材料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排烟管道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必须采用不燃材料，应有隔热防火措施或与可燃物保持</w:t>
            </w:r>
            <w:r>
              <w:rPr>
                <w:rFonts w:hint="eastAsia" w:ascii="宋体" w:hAnsi="宋体"/>
                <w:szCs w:val="21"/>
              </w:rPr>
              <w:t>不小于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color w:val="000000"/>
                <w:szCs w:val="21"/>
              </w:rPr>
              <w:t>mm的间距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管道表面应平整、无损坏，接管合理，风管的连接以及风管与风机连接应无明显缺陷，管道应安装牢固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采用土建风道时，与风口连接处应严密不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漏风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系统功能</w:t>
            </w: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应能自动和手动控制启动相应区域的风阀、风机，且风机运转正常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风阀、风机动作的信号，应传至消防控制室，并能在消防联动控制器上显示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排风口的风速不应大于10m/s，风量符合要求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当通风与排烟共用风机时，火灾时应能自动切换到高速运行状态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排烟阀（口）应与排烟风机连锁，当任意排烟阀（口）开启时，排烟风机应能自动启动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消防联动控制器联动控制排烟阀（口）开启时，应同时停止该防烟分区的空气调节系统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在排烟风机入口处的总管上应设排烟防火阀，该阀应与排烟风机连锁，当防火阀关闭时，排烟风机应能停止运转，并能向消防控制室反馈信号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</w:tbl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防排烟系统检测报告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zJhMjkwOGQ4NDFjNTIxMjliNmZjNTVlNzdlZjAifQ=="/>
  </w:docVars>
  <w:rsids>
    <w:rsidRoot w:val="1DDF661F"/>
    <w:rsid w:val="1DDF661F"/>
    <w:rsid w:val="75A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创艺简宋体" w:eastAsia="创艺简宋体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1795</Words>
  <Characters>1850</Characters>
  <Lines>0</Lines>
  <Paragraphs>0</Paragraphs>
  <TotalTime>0</TotalTime>
  <ScaleCrop>false</ScaleCrop>
  <LinksUpToDate>false</LinksUpToDate>
  <CharactersWithSpaces>1883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2022-05-04T13:53:00Z</dcterms:created>
  <dc:creator>蒋永华</dc:creator>
  <cp:lastModifiedBy>蒋永华</cp:lastModifiedBy>
  <dcterms:modified xsi:type="dcterms:W3CDTF">2022-05-04T13:54:28Z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747E5B5BF7104D4385E37E45B965F72E</vt:lpwstr>
  </property>
</Properties>
</file>