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bookmarkStart w:id="87" w:name="_GoBack"/>
      <w:bookmarkEnd w:id="87"/>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商业建筑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r>
              <w:rPr>
                <w:rFonts w:hint="eastAsia"/>
              </w:rPr>
              <w:t>工业遗产改造</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2024年11月23日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建筑声环境SEDU2024</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20240430(SP1)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T18314492394</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_Toc30994 </w:instrText>
      </w:r>
      <w:r>
        <w:rPr>
          <w:rFonts w:ascii="宋体" w:hAnsi="宋体"/>
          <w:caps/>
        </w:rPr>
        <w:fldChar w:fldCharType="separate"/>
      </w:r>
      <w:r>
        <w:t xml:space="preserve">1 </w:t>
      </w:r>
      <w:r>
        <w:rPr>
          <w:rFonts w:hint="eastAsia"/>
        </w:rPr>
        <w:t>建筑概况</w:t>
      </w:r>
      <w:r>
        <w:tab/>
      </w:r>
      <w:r>
        <w:fldChar w:fldCharType="begin"/>
      </w:r>
      <w:r>
        <w:instrText xml:space="preserve"> PAGEREF _Toc30994 \h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_Toc14418 </w:instrText>
      </w:r>
      <w:r>
        <w:fldChar w:fldCharType="separate"/>
      </w:r>
      <w:r>
        <w:t xml:space="preserve">2 </w:t>
      </w:r>
      <w:r>
        <w:rPr>
          <w:rFonts w:hint="eastAsia"/>
        </w:rPr>
        <w:t>评价依据</w:t>
      </w:r>
      <w:r>
        <w:tab/>
      </w:r>
      <w:r>
        <w:fldChar w:fldCharType="begin"/>
      </w:r>
      <w:r>
        <w:instrText xml:space="preserve"> PAGEREF _Toc14418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_Toc17062 </w:instrText>
      </w:r>
      <w:r>
        <w:fldChar w:fldCharType="separate"/>
      </w:r>
      <w:r>
        <w:t xml:space="preserve">3 </w:t>
      </w:r>
      <w:r>
        <w:rPr>
          <w:rFonts w:hint="eastAsia"/>
        </w:rPr>
        <w:t>标准</w:t>
      </w:r>
      <w:r>
        <w:t>要求</w:t>
      </w:r>
      <w:r>
        <w:tab/>
      </w:r>
      <w:r>
        <w:fldChar w:fldCharType="begin"/>
      </w:r>
      <w:r>
        <w:instrText xml:space="preserve"> PAGEREF _Toc17062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_Toc6366 </w:instrText>
      </w:r>
      <w:r>
        <w:fldChar w:fldCharType="separate"/>
      </w:r>
      <w:r>
        <w:rPr>
          <w:kern w:val="2"/>
        </w:rPr>
        <w:t xml:space="preserve">4 </w:t>
      </w:r>
      <w:r>
        <w:rPr>
          <w:rFonts w:hint="eastAsia"/>
          <w:kern w:val="2"/>
        </w:rPr>
        <w:t>计算原理</w:t>
      </w:r>
      <w:r>
        <w:tab/>
      </w:r>
      <w:r>
        <w:fldChar w:fldCharType="begin"/>
      </w:r>
      <w:r>
        <w:instrText xml:space="preserve"> PAGEREF _Toc6366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_Toc3664 </w:instrText>
      </w:r>
      <w:r>
        <w:fldChar w:fldCharType="separate"/>
      </w:r>
      <w:r>
        <w:t xml:space="preserve">4.1 </w:t>
      </w:r>
      <w:r>
        <w:rPr>
          <w:rFonts w:hint="eastAsia"/>
        </w:rPr>
        <w:t>典型</w:t>
      </w:r>
      <w:r>
        <w:t>房间确定</w:t>
      </w:r>
      <w:r>
        <w:tab/>
      </w:r>
      <w:r>
        <w:fldChar w:fldCharType="begin"/>
      </w:r>
      <w:r>
        <w:instrText xml:space="preserve"> PAGEREF _Toc3664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_Toc32414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_Toc32414 \h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_Toc20729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_Toc20729 \h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_Toc28807 </w:instrText>
      </w:r>
      <w:r>
        <w:fldChar w:fldCharType="separate"/>
      </w:r>
      <w:r>
        <w:t xml:space="preserve">5.1 </w:t>
      </w:r>
      <w:r>
        <w:rPr>
          <w:rFonts w:hint="eastAsia"/>
        </w:rPr>
        <w:t>室外边界噪声</w:t>
      </w:r>
      <w:r>
        <w:tab/>
      </w:r>
      <w:r>
        <w:fldChar w:fldCharType="begin"/>
      </w:r>
      <w:r>
        <w:instrText xml:space="preserve"> PAGEREF _Toc28807 \h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_Toc3246 </w:instrText>
      </w:r>
      <w:r>
        <w:fldChar w:fldCharType="separate"/>
      </w:r>
      <w:r>
        <w:t xml:space="preserve">5.1.1 </w:t>
      </w:r>
      <w:r>
        <w:rPr>
          <w:rFonts w:hint="eastAsia"/>
        </w:rPr>
        <w:t>环境</w:t>
      </w:r>
      <w:r>
        <w:t>噪声分析</w:t>
      </w:r>
      <w:r>
        <w:tab/>
      </w:r>
      <w:r>
        <w:fldChar w:fldCharType="begin"/>
      </w:r>
      <w:r>
        <w:instrText xml:space="preserve"> PAGEREF _Toc3246 \h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_Toc19383 </w:instrText>
      </w:r>
      <w:r>
        <w:fldChar w:fldCharType="separate"/>
      </w:r>
      <w:r>
        <w:t xml:space="preserve">5.1.2 </w:t>
      </w:r>
      <w:r>
        <w:rPr>
          <w:rFonts w:hint="eastAsia"/>
        </w:rPr>
        <w:t>房间</w:t>
      </w:r>
      <w:r>
        <w:t>边界噪声</w:t>
      </w:r>
      <w:r>
        <w:tab/>
      </w:r>
      <w:r>
        <w:fldChar w:fldCharType="begin"/>
      </w:r>
      <w:r>
        <w:instrText xml:space="preserve"> PAGEREF _Toc19383 \h </w:instrText>
      </w:r>
      <w:r>
        <w:fldChar w:fldCharType="separate"/>
      </w:r>
      <w:r>
        <w:t>5</w:t>
      </w:r>
      <w:r>
        <w:fldChar w:fldCharType="end"/>
      </w:r>
      <w:r>
        <w:fldChar w:fldCharType="end"/>
      </w:r>
    </w:p>
    <w:p>
      <w:pPr>
        <w:pStyle w:val="19"/>
        <w:tabs>
          <w:tab w:val="right" w:leader="dot" w:pos="9070"/>
          <w:tab w:val="clear" w:pos="540"/>
          <w:tab w:val="clear" w:pos="9360"/>
        </w:tabs>
      </w:pPr>
      <w:r>
        <w:fldChar w:fldCharType="begin"/>
      </w:r>
      <w:r>
        <w:instrText xml:space="preserve"> HYPERLINK \l _Toc2126 </w:instrText>
      </w:r>
      <w:r>
        <w:fldChar w:fldCharType="separate"/>
      </w:r>
      <w:r>
        <w:t>5.2 构件空气声隔声</w:t>
      </w:r>
      <w:r>
        <w:tab/>
      </w:r>
      <w:r>
        <w:fldChar w:fldCharType="begin"/>
      </w:r>
      <w:r>
        <w:instrText xml:space="preserve"> PAGEREF _Toc2126 \h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_Toc2276 </w:instrText>
      </w:r>
      <w:r>
        <w:fldChar w:fldCharType="separate"/>
      </w:r>
      <w:r>
        <w:t xml:space="preserve">5.3 </w:t>
      </w:r>
      <w:r>
        <w:rPr>
          <w:rFonts w:hint="eastAsia"/>
        </w:rPr>
        <w:t>房间</w:t>
      </w:r>
      <w:r>
        <w:t>总吸声量计算</w:t>
      </w:r>
      <w:r>
        <w:tab/>
      </w:r>
      <w:r>
        <w:fldChar w:fldCharType="begin"/>
      </w:r>
      <w:r>
        <w:instrText xml:space="preserve"> PAGEREF _Toc2276 \h </w:instrText>
      </w:r>
      <w:r>
        <w:fldChar w:fldCharType="separate"/>
      </w:r>
      <w:r>
        <w:t>7</w:t>
      </w:r>
      <w:r>
        <w:fldChar w:fldCharType="end"/>
      </w:r>
      <w:r>
        <w:fldChar w:fldCharType="end"/>
      </w:r>
    </w:p>
    <w:p>
      <w:pPr>
        <w:pStyle w:val="19"/>
        <w:tabs>
          <w:tab w:val="right" w:leader="dot" w:pos="9070"/>
          <w:tab w:val="clear" w:pos="540"/>
          <w:tab w:val="clear" w:pos="9360"/>
        </w:tabs>
      </w:pPr>
      <w:r>
        <w:fldChar w:fldCharType="begin"/>
      </w:r>
      <w:r>
        <w:instrText xml:space="preserve"> HYPERLINK \l _Toc14789 </w:instrText>
      </w:r>
      <w:r>
        <w:fldChar w:fldCharType="separate"/>
      </w:r>
      <w:r>
        <w:t xml:space="preserve">5.4 </w:t>
      </w:r>
      <w:r>
        <w:rPr>
          <w:rFonts w:hint="eastAsia"/>
        </w:rPr>
        <w:t>组合墙</w:t>
      </w:r>
      <w:r>
        <w:t>空气声隔声量计算</w:t>
      </w:r>
      <w:r>
        <w:tab/>
      </w:r>
      <w:r>
        <w:fldChar w:fldCharType="begin"/>
      </w:r>
      <w:r>
        <w:instrText xml:space="preserve"> PAGEREF _Toc14789 \h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_Toc20009 </w:instrText>
      </w:r>
      <w:r>
        <w:fldChar w:fldCharType="separate"/>
      </w:r>
      <w:r>
        <w:t xml:space="preserve">5.4.1 </w:t>
      </w:r>
      <w:r>
        <w:rPr>
          <w:rFonts w:hint="eastAsia"/>
        </w:rPr>
        <w:t>组合墙</w:t>
      </w:r>
      <w:r>
        <w:t>有效隔声量</w:t>
      </w:r>
      <w:r>
        <w:tab/>
      </w:r>
      <w:r>
        <w:fldChar w:fldCharType="begin"/>
      </w:r>
      <w:r>
        <w:instrText xml:space="preserve"> PAGEREF _Toc20009 \h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_Toc7960 </w:instrText>
      </w:r>
      <w:r>
        <w:fldChar w:fldCharType="separate"/>
      </w:r>
      <w:r>
        <w:t xml:space="preserve">5.4.2 </w:t>
      </w:r>
      <w:r>
        <w:rPr>
          <w:rFonts w:hint="eastAsia"/>
        </w:rPr>
        <w:t>组合墙</w:t>
      </w:r>
      <w:r>
        <w:t>隔声单值评价量、频谱修正量</w:t>
      </w:r>
      <w:r>
        <w:tab/>
      </w:r>
      <w:r>
        <w:fldChar w:fldCharType="begin"/>
      </w:r>
      <w:r>
        <w:instrText xml:space="preserve"> PAGEREF _Toc7960 \h </w:instrText>
      </w:r>
      <w:r>
        <w:fldChar w:fldCharType="separate"/>
      </w:r>
      <w:r>
        <w:t>9</w:t>
      </w:r>
      <w:r>
        <w:fldChar w:fldCharType="end"/>
      </w:r>
      <w:r>
        <w:fldChar w:fldCharType="end"/>
      </w:r>
    </w:p>
    <w:p>
      <w:pPr>
        <w:pStyle w:val="14"/>
        <w:tabs>
          <w:tab w:val="right" w:leader="dot" w:pos="9070"/>
          <w:tab w:val="clear" w:pos="900"/>
          <w:tab w:val="clear" w:pos="9360"/>
        </w:tabs>
      </w:pPr>
      <w:r>
        <w:fldChar w:fldCharType="begin"/>
      </w:r>
      <w:r>
        <w:instrText xml:space="preserve"> HYPERLINK \l _Toc14440 </w:instrText>
      </w:r>
      <w:r>
        <w:fldChar w:fldCharType="separate"/>
      </w:r>
      <w:r>
        <w:t xml:space="preserve">5.4.3 </w:t>
      </w:r>
      <w:r>
        <w:rPr>
          <w:rFonts w:hint="eastAsia"/>
        </w:rPr>
        <w:t>缝隙对组合墙隔声量的影响</w:t>
      </w:r>
      <w:r>
        <w:tab/>
      </w:r>
      <w:r>
        <w:fldChar w:fldCharType="begin"/>
      </w:r>
      <w:r>
        <w:instrText xml:space="preserve"> PAGEREF _Toc14440 \h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_Toc25802 </w:instrText>
      </w:r>
      <w:r>
        <w:fldChar w:fldCharType="separate"/>
      </w:r>
      <w:r>
        <w:t xml:space="preserve">5.4.4 </w:t>
      </w:r>
      <w:r>
        <w:rPr>
          <w:rFonts w:hint="eastAsia"/>
        </w:rPr>
        <w:t>组合墙隔声量计算过程</w:t>
      </w:r>
      <w:r>
        <w:tab/>
      </w:r>
      <w:r>
        <w:fldChar w:fldCharType="begin"/>
      </w:r>
      <w:r>
        <w:instrText xml:space="preserve"> PAGEREF _Toc25802 \h </w:instrText>
      </w:r>
      <w:r>
        <w:fldChar w:fldCharType="separate"/>
      </w:r>
      <w:r>
        <w:t>10</w:t>
      </w:r>
      <w:r>
        <w:fldChar w:fldCharType="end"/>
      </w:r>
      <w:r>
        <w:fldChar w:fldCharType="end"/>
      </w:r>
    </w:p>
    <w:p>
      <w:pPr>
        <w:pStyle w:val="19"/>
        <w:tabs>
          <w:tab w:val="right" w:leader="dot" w:pos="9070"/>
          <w:tab w:val="clear" w:pos="540"/>
          <w:tab w:val="clear" w:pos="9360"/>
        </w:tabs>
      </w:pPr>
      <w:r>
        <w:fldChar w:fldCharType="begin"/>
      </w:r>
      <w:r>
        <w:instrText xml:space="preserve"> HYPERLINK \l _Toc24736 </w:instrText>
      </w:r>
      <w:r>
        <w:fldChar w:fldCharType="separate"/>
      </w:r>
      <w:r>
        <w:t xml:space="preserve">5.5 </w:t>
      </w:r>
      <w:r>
        <w:rPr>
          <w:rFonts w:hint="eastAsia"/>
        </w:rPr>
        <w:t>室外环境噪声通过组合墙传到室内的噪声级计算</w:t>
      </w:r>
      <w:r>
        <w:tab/>
      </w:r>
      <w:r>
        <w:fldChar w:fldCharType="begin"/>
      </w:r>
      <w:r>
        <w:instrText xml:space="preserve"> PAGEREF _Toc24736 \h </w:instrText>
      </w:r>
      <w:r>
        <w:fldChar w:fldCharType="separate"/>
      </w:r>
      <w:r>
        <w:t>11</w:t>
      </w:r>
      <w:r>
        <w:fldChar w:fldCharType="end"/>
      </w:r>
      <w:r>
        <w:fldChar w:fldCharType="end"/>
      </w:r>
    </w:p>
    <w:p>
      <w:pPr>
        <w:pStyle w:val="19"/>
        <w:tabs>
          <w:tab w:val="right" w:leader="dot" w:pos="9070"/>
          <w:tab w:val="clear" w:pos="540"/>
          <w:tab w:val="clear" w:pos="9360"/>
        </w:tabs>
      </w:pPr>
      <w:r>
        <w:fldChar w:fldCharType="begin"/>
      </w:r>
      <w:r>
        <w:instrText xml:space="preserve"> HYPERLINK \l _Toc27741 </w:instrText>
      </w:r>
      <w:r>
        <w:fldChar w:fldCharType="separate"/>
      </w:r>
      <w:r>
        <w:t xml:space="preserve">5.6 </w:t>
      </w:r>
      <w:r>
        <w:rPr>
          <w:rFonts w:hint="eastAsia"/>
        </w:rPr>
        <w:t>室内声源的影响</w:t>
      </w:r>
      <w:r>
        <w:tab/>
      </w:r>
      <w:r>
        <w:fldChar w:fldCharType="begin"/>
      </w:r>
      <w:r>
        <w:instrText xml:space="preserve"> PAGEREF _Toc27741 \h </w:instrText>
      </w:r>
      <w:r>
        <w:fldChar w:fldCharType="separate"/>
      </w:r>
      <w:r>
        <w:t>11</w:t>
      </w:r>
      <w:r>
        <w:fldChar w:fldCharType="end"/>
      </w:r>
      <w:r>
        <w:fldChar w:fldCharType="end"/>
      </w:r>
    </w:p>
    <w:p>
      <w:pPr>
        <w:pStyle w:val="19"/>
        <w:tabs>
          <w:tab w:val="right" w:leader="dot" w:pos="9070"/>
          <w:tab w:val="clear" w:pos="540"/>
          <w:tab w:val="clear" w:pos="9360"/>
        </w:tabs>
      </w:pPr>
      <w:r>
        <w:fldChar w:fldCharType="begin"/>
      </w:r>
      <w:r>
        <w:instrText xml:space="preserve"> HYPERLINK \l _Toc1239 </w:instrText>
      </w:r>
      <w:r>
        <w:fldChar w:fldCharType="separate"/>
      </w:r>
      <w:r>
        <w:t xml:space="preserve">5.7 </w:t>
      </w:r>
      <w:r>
        <w:rPr>
          <w:rFonts w:hint="eastAsia"/>
        </w:rPr>
        <w:t>室内噪声级计算</w:t>
      </w:r>
      <w:r>
        <w:tab/>
      </w:r>
      <w:r>
        <w:fldChar w:fldCharType="begin"/>
      </w:r>
      <w:r>
        <w:instrText xml:space="preserve"> PAGEREF _Toc1239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_Toc7173 </w:instrText>
      </w:r>
      <w:r>
        <w:fldChar w:fldCharType="separate"/>
      </w:r>
      <w:r>
        <w:t xml:space="preserve">5.8 </w:t>
      </w:r>
      <w:r>
        <w:rPr>
          <w:rFonts w:hint="eastAsia"/>
        </w:rPr>
        <w:t>小结</w:t>
      </w:r>
      <w:r>
        <w:tab/>
      </w:r>
      <w:r>
        <w:fldChar w:fldCharType="begin"/>
      </w:r>
      <w:r>
        <w:instrText xml:space="preserve"> PAGEREF _Toc7173 \h </w:instrText>
      </w:r>
      <w:r>
        <w:fldChar w:fldCharType="separate"/>
      </w:r>
      <w:r>
        <w:t>12</w:t>
      </w:r>
      <w:r>
        <w:fldChar w:fldCharType="end"/>
      </w:r>
      <w:r>
        <w:fldChar w:fldCharType="end"/>
      </w:r>
    </w:p>
    <w:p>
      <w:pPr>
        <w:pStyle w:val="18"/>
        <w:tabs>
          <w:tab w:val="right" w:leader="dot" w:pos="9070"/>
          <w:tab w:val="clear" w:pos="180"/>
          <w:tab w:val="clear" w:pos="9360"/>
        </w:tabs>
      </w:pPr>
      <w:r>
        <w:fldChar w:fldCharType="begin"/>
      </w:r>
      <w:r>
        <w:instrText xml:space="preserve"> HYPERLINK \l _Toc14742 </w:instrText>
      </w:r>
      <w:r>
        <w:fldChar w:fldCharType="separate"/>
      </w:r>
      <w:r>
        <w:rPr>
          <w:kern w:val="2"/>
        </w:rPr>
        <w:t xml:space="preserve">6 </w:t>
      </w:r>
      <w:r>
        <w:rPr>
          <w:rFonts w:hint="eastAsia"/>
          <w:kern w:val="2"/>
        </w:rPr>
        <w:t>结论</w:t>
      </w:r>
      <w:r>
        <w:tab/>
      </w:r>
      <w:r>
        <w:fldChar w:fldCharType="begin"/>
      </w:r>
      <w:r>
        <w:instrText xml:space="preserve"> PAGEREF _Toc14742 \h </w:instrText>
      </w:r>
      <w:r>
        <w:fldChar w:fldCharType="separate"/>
      </w:r>
      <w:r>
        <w:t>13</w:t>
      </w:r>
      <w:r>
        <w:fldChar w:fldCharType="end"/>
      </w:r>
      <w:r>
        <w:fldChar w:fldCharType="end"/>
      </w:r>
    </w:p>
    <w:p>
      <w:pPr>
        <w:pStyle w:val="18"/>
        <w:tabs>
          <w:tab w:val="right" w:leader="dot" w:pos="9070"/>
          <w:tab w:val="clear" w:pos="180"/>
          <w:tab w:val="clear" w:pos="9360"/>
        </w:tabs>
      </w:pPr>
      <w:r>
        <w:fldChar w:fldCharType="begin"/>
      </w:r>
      <w:r>
        <w:instrText xml:space="preserve"> HYPERLINK \l _Toc26821 </w:instrText>
      </w:r>
      <w:r>
        <w:fldChar w:fldCharType="separate"/>
      </w:r>
      <w:r>
        <w:rPr>
          <w:kern w:val="2"/>
        </w:rPr>
        <w:t xml:space="preserve">7 </w:t>
      </w:r>
      <w:r>
        <w:rPr>
          <w:rFonts w:hint="eastAsia"/>
          <w:kern w:val="2"/>
        </w:rPr>
        <w:t>附录：室内噪声级详表</w:t>
      </w:r>
      <w:r>
        <w:tab/>
      </w:r>
      <w:r>
        <w:fldChar w:fldCharType="begin"/>
      </w:r>
      <w:r>
        <w:instrText xml:space="preserve"> PAGEREF _Toc26821 \h </w:instrText>
      </w:r>
      <w:r>
        <w:fldChar w:fldCharType="separate"/>
      </w:r>
      <w:r>
        <w:t>14</w:t>
      </w:r>
      <w:r>
        <w:fldChar w:fldCharType="end"/>
      </w:r>
      <w:r>
        <w:fldChar w:fldCharType="end"/>
      </w:r>
    </w:p>
    <w:p>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30994"/>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r>
              <w:t>工业遗产改造</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3241</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2</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13.5</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90</w:t>
            </w:r>
            <w:bookmarkEnd w:id="18"/>
          </w:p>
        </w:tc>
      </w:tr>
    </w:tbl>
    <w:p>
      <w:pPr>
        <w:pStyle w:val="3"/>
        <w:spacing w:before="312" w:beforeLines="100"/>
        <w:jc w:val="center"/>
        <w:rPr>
          <w:lang w:val="en-US"/>
        </w:rPr>
      </w:pPr>
      <w:bookmarkStart w:id="19" w:name="单体模型观察图"/>
      <w:bookmarkEnd w:id="19"/>
      <w:bookmarkStart w:id="20" w:name="围护结构概况"/>
      <w:bookmarkEnd w:id="20"/>
      <w:r>
        <w:rPr>
          <w:lang w:val="en-US"/>
        </w:rPr>
        <w:t>请先在[模型观察]命令中保存图片！</w:t>
      </w:r>
    </w:p>
    <w:p>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pPr>
        <w:pStyle w:val="2"/>
      </w:pPr>
      <w:bookmarkStart w:id="21" w:name="_Toc14418"/>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
      </w:pPr>
      <w:bookmarkStart w:id="23" w:name="_Toc17062"/>
      <w:r>
        <w:rPr>
          <w:rFonts w:hint="eastAsia"/>
        </w:rPr>
        <w:t>标准</w:t>
      </w:r>
      <w:r>
        <w:t>要求</w:t>
      </w:r>
      <w:bookmarkEnd w:id="23"/>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4" w:name="_Toc6366"/>
      <w:r>
        <w:rPr>
          <w:rFonts w:hint="eastAsia"/>
          <w:kern w:val="2"/>
        </w:rPr>
        <w:t>计算原理</w:t>
      </w:r>
      <w:bookmarkEnd w:id="24"/>
    </w:p>
    <w:p>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pPr>
        <w:pStyle w:val="4"/>
      </w:pPr>
      <w:bookmarkStart w:id="25" w:name="_Toc3664"/>
      <w:r>
        <w:rPr>
          <w:rFonts w:hint="eastAsia"/>
        </w:rPr>
        <w:t>典型</w:t>
      </w:r>
      <w:r>
        <w:t>房间确定</w:t>
      </w:r>
      <w:bookmarkEnd w:id="25"/>
    </w:p>
    <w:p>
      <w:pPr>
        <w:pStyle w:val="3"/>
        <w:numPr>
          <w:ilvl w:val="0"/>
          <w:numId w:val="4"/>
        </w:numPr>
      </w:pPr>
      <w:bookmarkStart w:id="26" w:name="_Hlk498956250"/>
      <w:bookmarkStart w:id="27"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再从满足最低等级的房间中，确定室内噪声级最大的房间，以此房间作为噪声级不利的典型房间进行达标判定。</w:t>
      </w:r>
      <w:bookmarkEnd w:id="26"/>
    </w:p>
    <w:p>
      <w:pPr>
        <w:pStyle w:val="3"/>
        <w:numPr>
          <w:ilvl w:val="0"/>
          <w:numId w:val="4"/>
        </w:numPr>
      </w:pPr>
      <w:r>
        <w:t>也可以根据项目实际情况和经验常识自选</w:t>
      </w:r>
      <w:r>
        <w:rPr>
          <w:rFonts w:hint="eastAsia"/>
        </w:rPr>
        <w:t>典型</w:t>
      </w:r>
      <w:r>
        <w:t>房间进行评价，如靠近交通要道的卧室、办公室等。</w:t>
      </w:r>
    </w:p>
    <w:p>
      <w:pPr>
        <w:pStyle w:val="4"/>
      </w:pPr>
      <w:bookmarkStart w:id="28" w:name="_Toc32414"/>
      <w:r>
        <w:rPr>
          <w:rFonts w:hint="eastAsia"/>
        </w:rPr>
        <w:t>室内</w:t>
      </w:r>
      <w:r>
        <w:t>噪声级</w:t>
      </w:r>
      <w:r>
        <w:rPr>
          <w:rFonts w:hint="eastAsia"/>
        </w:rPr>
        <w:t>计算</w:t>
      </w:r>
      <w:bookmarkEnd w:id="28"/>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spacing w:before="240"/>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9" w:name="_Toc20729"/>
      <w:r>
        <w:rPr>
          <w:rFonts w:hint="eastAsia"/>
          <w:kern w:val="2"/>
        </w:rPr>
        <w:t>计算</w:t>
      </w:r>
      <w:r>
        <w:rPr>
          <w:kern w:val="2"/>
        </w:rPr>
        <w:t>过程</w:t>
      </w:r>
      <w:bookmarkEnd w:id="29"/>
    </w:p>
    <w:p>
      <w:pPr>
        <w:pStyle w:val="4"/>
      </w:pPr>
      <w:bookmarkStart w:id="30" w:name="_Toc28807"/>
      <w:r>
        <w:rPr>
          <w:rFonts w:hint="eastAsia"/>
        </w:rPr>
        <w:t>室外边界噪声</w:t>
      </w:r>
      <w:bookmarkEnd w:id="30"/>
    </w:p>
    <w:p>
      <w:pPr>
        <w:pStyle w:val="5"/>
      </w:pPr>
      <w:bookmarkStart w:id="31" w:name="_Toc3246"/>
      <w:r>
        <w:rPr>
          <w:rFonts w:hint="eastAsia"/>
        </w:rPr>
        <w:t>环境</w:t>
      </w:r>
      <w:r>
        <w:t>噪声分析</w:t>
      </w:r>
      <w:bookmarkEnd w:id="31"/>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4" w:name="参评建筑边界噪声图昼间"/>
      <w:bookmarkEnd w:id="34"/>
      <w:r>
        <w:drawing>
          <wp:inline distT="0" distB="0" distL="0" distR="0">
            <wp:extent cx="5667375" cy="2628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6289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5" w:name="参评建筑边界噪声图夜间"/>
      <w:bookmarkEnd w:id="35"/>
      <w:r>
        <w:drawing>
          <wp:inline distT="0" distB="0" distL="0" distR="0">
            <wp:extent cx="5667375" cy="26289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6289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6" w:name="_Toc19383"/>
      <w:r>
        <w:rPr>
          <w:rFonts w:hint="eastAsia"/>
        </w:rPr>
        <w:t>房间</w:t>
      </w:r>
      <w:r>
        <w:t>边界噪声</w:t>
      </w:r>
      <w:bookmarkEnd w:id="36"/>
    </w:p>
    <w:p>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2029房间,房间类型[火锅店]</w:t>
      </w:r>
      <w:bookmarkEnd w:id="37"/>
      <w:r>
        <w:rPr>
          <w:rFonts w:hint="eastAsia"/>
          <w:lang w:val="en-US"/>
        </w:rPr>
        <w:t>，报告书阐述该房间室内噪声级计算过程，房间所在楼层平面图如下图所示：</w:t>
      </w:r>
    </w:p>
    <w:p>
      <w:pPr>
        <w:jc w:val="center"/>
        <w:rPr>
          <w:kern w:val="2"/>
          <w:szCs w:val="21"/>
          <w:lang w:val="en-US"/>
        </w:rPr>
      </w:pPr>
      <w:bookmarkStart w:id="38" w:name="最不利房间楼层平面图"/>
      <w:bookmarkEnd w:id="38"/>
      <w:r>
        <w:drawing>
          <wp:inline distT="0" distB="0" distL="0" distR="0">
            <wp:extent cx="5667375" cy="4419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41960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9" w:name="昼间边界噪声2"/>
      <w:r>
        <w:rPr>
          <w:rFonts w:hint="eastAsia"/>
          <w:b/>
          <w:lang w:val="en-US"/>
        </w:rPr>
        <w:t>51</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40</w:t>
      </w:r>
      <w:bookmarkEnd w:id="40"/>
      <w:r>
        <w:rPr>
          <w:b/>
          <w:lang w:val="en-US"/>
        </w:rPr>
        <w:t xml:space="preserve"> dB(A)</w:t>
      </w:r>
      <w:r>
        <w:rPr>
          <w:rFonts w:hint="eastAsia"/>
          <w:b/>
          <w:lang w:val="en-US"/>
        </w:rPr>
        <w:t>。</w:t>
      </w:r>
    </w:p>
    <w:p>
      <w:pPr>
        <w:pStyle w:val="4"/>
        <w:numPr>
          <w:ilvl w:val="1"/>
          <w:numId w:val="1"/>
        </w:numPr>
      </w:pPr>
      <w:bookmarkStart w:id="41" w:name="_Toc2126"/>
      <w:r>
        <w:t>构件空气声隔声</w:t>
      </w:r>
      <w:bookmarkEnd w:id="41"/>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构件</w:t>
            </w:r>
          </w:p>
        </w:tc>
        <w:tc>
          <w:tcPr>
            <w:shd w:val="clear" w:color="auto" w:fill="E6E6E6"/>
            <w:vAlign w:val="center"/>
          </w:tcPr>
          <w:p>
            <w:pPr>
              <w:jc w:val="center"/>
              <w:rPr>
                <w:sz w:val="21"/>
                <w:szCs w:val="21"/>
              </w:rPr>
            </w:pPr>
            <w:r>
              <w:rPr>
                <w:sz w:val="21"/>
                <w:szCs w:val="21"/>
              </w:rPr>
              <w:t>材料</w:t>
            </w:r>
          </w:p>
        </w:tc>
        <w:tc>
          <w:tcPr>
            <w:shd w:val="clear" w:color="auto" w:fill="E6E6E6"/>
            <w:vAlign w:val="center"/>
          </w:tcPr>
          <w:p>
            <w:pPr>
              <w:jc w:val="center"/>
              <w:rPr>
                <w:sz w:val="21"/>
                <w:szCs w:val="21"/>
              </w:rPr>
            </w:pPr>
            <w:r>
              <w:rPr>
                <w:sz w:val="21"/>
                <w:szCs w:val="21"/>
              </w:rPr>
              <w:t>厚度(mm)</w:t>
            </w:r>
          </w:p>
        </w:tc>
        <w:tc>
          <w:tcPr>
            <w:shd w:val="clear" w:color="auto" w:fill="E6E6E6"/>
            <w:vAlign w:val="center"/>
          </w:tcPr>
          <w:p>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pPr>
              <w:jc w:val="center"/>
              <w:rPr>
                <w:sz w:val="21"/>
                <w:szCs w:val="21"/>
              </w:rPr>
            </w:pPr>
            <w:r>
              <w:rPr>
                <w:sz w:val="21"/>
                <w:szCs w:val="21"/>
              </w:rPr>
              <w:t>总面密度(kg/m</w:t>
            </w:r>
            <w:r>
              <w:rPr>
                <w:sz w:val="21"/>
                <w:szCs w:val="21"/>
                <w:vertAlign w:val="superscript"/>
              </w:rPr>
              <w:t>2</w:t>
            </w: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w:t>
            </w:r>
          </w:p>
        </w:tc>
        <w:tc>
          <w:tcPr>
            <w:vAlign w:val="center"/>
          </w:tcPr>
          <w:p>
            <w:pPr>
              <w:rPr>
                <w:sz w:val="21"/>
                <w:szCs w:val="21"/>
              </w:rPr>
            </w:pPr>
            <w:r>
              <w:rPr>
                <w:sz w:val="21"/>
                <w:szCs w:val="21"/>
              </w:rPr>
              <w:t>建筑钢材</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7850</w:t>
            </w:r>
          </w:p>
        </w:tc>
        <w:tc>
          <w:tcPr>
            <w:vAlign w:val="center"/>
          </w:tcPr>
          <w:p>
            <w:pPr>
              <w:jc w:val="center"/>
              <w:rPr>
                <w:sz w:val="21"/>
                <w:szCs w:val="21"/>
              </w:rPr>
            </w:pPr>
            <w:r>
              <w:rPr>
                <w:sz w:val="21"/>
                <w:szCs w:val="21"/>
              </w:rPr>
              <w:t>79</w:t>
            </w:r>
          </w:p>
        </w:tc>
        <w:tc>
          <w:tcPr>
            <w:vMerge w:val="restart"/>
            <w:vAlign w:val="center"/>
          </w:tcPr>
          <w:p>
            <w:pPr>
              <w:jc w:val="center"/>
              <w:rPr>
                <w:sz w:val="21"/>
                <w:szCs w:val="21"/>
              </w:rPr>
            </w:pPr>
            <w:r>
              <w:rPr>
                <w:sz w:val="21"/>
                <w:szCs w:val="21"/>
              </w:rPr>
              <w:t>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蒸压加气混凝土砌块（725-825）</w:t>
            </w:r>
          </w:p>
        </w:tc>
        <w:tc>
          <w:tcPr>
            <w:vAlign w:val="center"/>
          </w:tcPr>
          <w:p>
            <w:pPr>
              <w:jc w:val="center"/>
              <w:rPr>
                <w:sz w:val="21"/>
                <w:szCs w:val="21"/>
              </w:rPr>
            </w:pPr>
            <w:r>
              <w:rPr>
                <w:sz w:val="21"/>
                <w:szCs w:val="21"/>
              </w:rPr>
              <w:t>160</w:t>
            </w:r>
          </w:p>
        </w:tc>
        <w:tc>
          <w:tcPr>
            <w:vAlign w:val="center"/>
          </w:tcPr>
          <w:p>
            <w:pPr>
              <w:jc w:val="center"/>
              <w:rPr>
                <w:sz w:val="21"/>
                <w:szCs w:val="21"/>
              </w:rPr>
            </w:pPr>
            <w:r>
              <w:rPr>
                <w:sz w:val="21"/>
                <w:szCs w:val="21"/>
              </w:rPr>
              <w:t>800</w:t>
            </w:r>
          </w:p>
        </w:tc>
        <w:tc>
          <w:tcPr>
            <w:vAlign w:val="center"/>
          </w:tcPr>
          <w:p>
            <w:pPr>
              <w:jc w:val="center"/>
              <w:rPr>
                <w:sz w:val="21"/>
                <w:szCs w:val="21"/>
              </w:rPr>
            </w:pPr>
            <w:r>
              <w:rPr>
                <w:sz w:val="21"/>
                <w:szCs w:val="21"/>
              </w:rPr>
              <w:t>128</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4</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膨胀玻化微珠保温装饰板</w:t>
            </w:r>
          </w:p>
        </w:tc>
        <w:tc>
          <w:tcPr>
            <w:vAlign w:val="center"/>
          </w:tcPr>
          <w:p>
            <w:pPr>
              <w:jc w:val="center"/>
              <w:rPr>
                <w:sz w:val="21"/>
                <w:szCs w:val="21"/>
              </w:rPr>
            </w:pPr>
            <w:r>
              <w:rPr>
                <w:sz w:val="21"/>
                <w:szCs w:val="21"/>
              </w:rPr>
              <w:t>15</w:t>
            </w:r>
          </w:p>
        </w:tc>
        <w:tc>
          <w:tcPr>
            <w:vAlign w:val="center"/>
          </w:tcPr>
          <w:p>
            <w:pPr>
              <w:jc w:val="center"/>
              <w:rPr>
                <w:sz w:val="21"/>
                <w:szCs w:val="21"/>
              </w:rPr>
            </w:pPr>
            <w:r>
              <w:rPr>
                <w:sz w:val="21"/>
                <w:szCs w:val="21"/>
              </w:rPr>
              <w:t>280</w:t>
            </w:r>
          </w:p>
        </w:tc>
        <w:tc>
          <w:tcPr>
            <w:vAlign w:val="center"/>
          </w:tcPr>
          <w:p>
            <w:pPr>
              <w:jc w:val="center"/>
              <w:rPr>
                <w:sz w:val="21"/>
                <w:szCs w:val="21"/>
              </w:rPr>
            </w:pPr>
            <w:r>
              <w:rPr>
                <w:sz w:val="21"/>
                <w:szCs w:val="21"/>
              </w:rPr>
              <w:t>4</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w:t>
            </w:r>
          </w:p>
        </w:tc>
        <w:tc>
          <w:tcPr>
            <w:vAlign w:val="center"/>
          </w:tcPr>
          <w:p>
            <w:pPr>
              <w:rPr>
                <w:sz w:val="21"/>
                <w:szCs w:val="21"/>
              </w:rPr>
            </w:pPr>
            <w:r>
              <w:rPr>
                <w:sz w:val="21"/>
                <w:szCs w:val="21"/>
              </w:rPr>
              <w:t>蒸压加气混凝土砌块（725-825）</w:t>
            </w:r>
          </w:p>
        </w:tc>
        <w:tc>
          <w:tcPr>
            <w:vAlign w:val="center"/>
          </w:tcPr>
          <w:p>
            <w:pPr>
              <w:jc w:val="center"/>
              <w:rPr>
                <w:sz w:val="21"/>
                <w:szCs w:val="21"/>
              </w:rPr>
            </w:pPr>
            <w:r>
              <w:rPr>
                <w:sz w:val="21"/>
                <w:szCs w:val="21"/>
              </w:rPr>
              <w:t>140</w:t>
            </w:r>
          </w:p>
        </w:tc>
        <w:tc>
          <w:tcPr>
            <w:vAlign w:val="center"/>
          </w:tcPr>
          <w:p>
            <w:pPr>
              <w:jc w:val="center"/>
              <w:rPr>
                <w:sz w:val="21"/>
                <w:szCs w:val="21"/>
              </w:rPr>
            </w:pPr>
            <w:r>
              <w:rPr>
                <w:sz w:val="21"/>
                <w:szCs w:val="21"/>
              </w:rPr>
              <w:t>800</w:t>
            </w:r>
          </w:p>
        </w:tc>
        <w:tc>
          <w:tcPr>
            <w:vAlign w:val="center"/>
          </w:tcPr>
          <w:p>
            <w:pPr>
              <w:jc w:val="center"/>
              <w:rPr>
                <w:sz w:val="21"/>
                <w:szCs w:val="21"/>
              </w:rPr>
            </w:pPr>
            <w:r>
              <w:rPr>
                <w:sz w:val="21"/>
                <w:szCs w:val="21"/>
              </w:rPr>
              <w:t>112</w:t>
            </w:r>
          </w:p>
        </w:tc>
        <w:tc>
          <w:tcPr>
            <w:vMerge w:val="restart"/>
            <w:vAlign w:val="center"/>
          </w:tcPr>
          <w:p>
            <w:pPr>
              <w:jc w:val="center"/>
              <w:rPr>
                <w:sz w:val="21"/>
                <w:szCs w:val="21"/>
              </w:rPr>
            </w:pPr>
            <w:r>
              <w:rPr>
                <w:sz w:val="21"/>
                <w:szCs w:val="21"/>
              </w:rPr>
              <w:t>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膨胀玻化微珠保温装饰板</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280</w:t>
            </w:r>
          </w:p>
        </w:tc>
        <w:tc>
          <w:tcPr>
            <w:vAlign w:val="center"/>
          </w:tcPr>
          <w:p>
            <w:pPr>
              <w:jc w:val="center"/>
              <w:rPr>
                <w:sz w:val="21"/>
                <w:szCs w:val="21"/>
              </w:rPr>
            </w:pPr>
            <w:r>
              <w:rPr>
                <w:sz w:val="21"/>
                <w:szCs w:val="21"/>
              </w:rPr>
              <w:t>3</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屋顶</w:t>
            </w:r>
          </w:p>
        </w:tc>
        <w:tc>
          <w:tcPr>
            <w:vAlign w:val="center"/>
          </w:tcPr>
          <w:p>
            <w:pPr>
              <w:rPr>
                <w:sz w:val="21"/>
                <w:szCs w:val="21"/>
              </w:rPr>
            </w:pPr>
            <w:r>
              <w:rPr>
                <w:sz w:val="21"/>
                <w:szCs w:val="21"/>
              </w:rPr>
              <w:t>混凝土，预制混凝土板，混凝土瓦</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2300</w:t>
            </w:r>
          </w:p>
        </w:tc>
        <w:tc>
          <w:tcPr>
            <w:vAlign w:val="center"/>
          </w:tcPr>
          <w:p>
            <w:pPr>
              <w:jc w:val="center"/>
              <w:rPr>
                <w:sz w:val="21"/>
                <w:szCs w:val="21"/>
              </w:rPr>
            </w:pPr>
            <w:r>
              <w:rPr>
                <w:sz w:val="21"/>
                <w:szCs w:val="21"/>
              </w:rPr>
              <w:t>46</w:t>
            </w:r>
          </w:p>
        </w:tc>
        <w:tc>
          <w:tcPr>
            <w:vMerge w:val="restart"/>
            <w:vAlign w:val="center"/>
          </w:tcPr>
          <w:p>
            <w:pPr>
              <w:jc w:val="center"/>
              <w:rPr>
                <w:sz w:val="21"/>
                <w:szCs w:val="21"/>
              </w:rPr>
            </w:pPr>
            <w:r>
              <w:rPr>
                <w:sz w:val="21"/>
                <w:szCs w:val="21"/>
              </w:rPr>
              <w:t>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建筑钢材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7850</w:t>
            </w:r>
          </w:p>
        </w:tc>
        <w:tc>
          <w:tcPr>
            <w:vAlign w:val="center"/>
          </w:tcPr>
          <w:p>
            <w:pPr>
              <w:jc w:val="center"/>
              <w:rPr>
                <w:sz w:val="21"/>
                <w:szCs w:val="21"/>
              </w:rPr>
            </w:pPr>
            <w:r>
              <w:rPr>
                <w:sz w:val="21"/>
                <w:szCs w:val="21"/>
              </w:rPr>
              <w:t>157</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18</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100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11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屋面复合防水保温装饰板（与挤塑聚苯板复合）</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楼板</w:t>
            </w:r>
          </w:p>
        </w:tc>
        <w:tc>
          <w:tcPr>
            <w:vAlign w:val="center"/>
          </w:tcPr>
          <w:p>
            <w:pPr>
              <w:rPr>
                <w:sz w:val="21"/>
                <w:szCs w:val="21"/>
              </w:rPr>
            </w:pPr>
            <w:r>
              <w:rPr>
                <w:sz w:val="21"/>
                <w:szCs w:val="21"/>
              </w:rPr>
              <w:t>建筑钢材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7850</w:t>
            </w:r>
          </w:p>
        </w:tc>
        <w:tc>
          <w:tcPr>
            <w:vAlign w:val="center"/>
          </w:tcPr>
          <w:p>
            <w:pPr>
              <w:jc w:val="center"/>
              <w:rPr>
                <w:sz w:val="21"/>
                <w:szCs w:val="21"/>
              </w:rPr>
            </w:pPr>
            <w:r>
              <w:rPr>
                <w:sz w:val="21"/>
                <w:szCs w:val="21"/>
              </w:rPr>
              <w:t>157</w:t>
            </w:r>
          </w:p>
        </w:tc>
        <w:tc>
          <w:tcPr>
            <w:vMerge w:val="restart"/>
            <w:vAlign w:val="center"/>
          </w:tcPr>
          <w:p>
            <w:pPr>
              <w:jc w:val="center"/>
              <w:rPr>
                <w:sz w:val="21"/>
                <w:szCs w:val="21"/>
              </w:rPr>
            </w:pPr>
            <w:r>
              <w:rPr>
                <w:sz w:val="21"/>
                <w:szCs w:val="21"/>
              </w:rPr>
              <w:t>297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蒸压加气混凝土砌块（725-825）</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800</w:t>
            </w:r>
          </w:p>
        </w:tc>
        <w:tc>
          <w:tcPr>
            <w:vAlign w:val="center"/>
          </w:tcPr>
          <w:p>
            <w:pPr>
              <w:jc w:val="center"/>
              <w:rPr>
                <w:sz w:val="21"/>
                <w:szCs w:val="21"/>
              </w:rPr>
            </w:pPr>
            <w:r>
              <w:rPr>
                <w:sz w:val="21"/>
                <w:szCs w:val="21"/>
              </w:rPr>
              <w:t>96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膨胀玻化微珠保温装饰板</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280</w:t>
            </w:r>
          </w:p>
        </w:tc>
        <w:tc>
          <w:tcPr>
            <w:vAlign w:val="center"/>
          </w:tcPr>
          <w:p>
            <w:pPr>
              <w:jc w:val="center"/>
              <w:rPr>
                <w:sz w:val="21"/>
                <w:szCs w:val="21"/>
              </w:rPr>
            </w:pPr>
            <w:r>
              <w:rPr>
                <w:sz w:val="21"/>
                <w:szCs w:val="21"/>
              </w:rPr>
              <w:t>3</w:t>
            </w:r>
          </w:p>
        </w:tc>
        <w:tc>
          <w:tcPr>
            <w:vMerge w:val="continue"/>
            <w:vAlign w:val="center"/>
          </w:tcPr>
          <w:p>
            <w:pPr>
              <w:jc w:val="center"/>
              <w:rPr>
                <w:sz w:val="21"/>
                <w:szCs w:val="21"/>
              </w:rPr>
            </w:pPr>
          </w:p>
        </w:tc>
      </w:tr>
    </w:tbl>
    <w:p>
      <w:pPr>
        <w:jc w:val="center"/>
        <w:rPr>
          <w:lang w:val="en-US"/>
        </w:rPr>
      </w:pPr>
      <w:bookmarkStart w:id="42" w:name="最不利房间围护结构材料清单"/>
      <w:bookmarkEnd w:id="42"/>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41.0</w:t>
            </w:r>
          </w:p>
        </w:tc>
        <w:tc>
          <w:tcPr>
            <w:vAlign w:val="center"/>
          </w:tcPr>
          <w:p>
            <w:pPr>
              <w:rPr>
                <w:sz w:val="21"/>
                <w:szCs w:val="21"/>
              </w:rPr>
            </w:pPr>
            <w:r>
              <w:rPr>
                <w:sz w:val="21"/>
                <w:szCs w:val="21"/>
              </w:rPr>
              <w:t>48.0</w:t>
            </w:r>
          </w:p>
        </w:tc>
        <w:tc>
          <w:tcPr>
            <w:vAlign w:val="center"/>
          </w:tcPr>
          <w:p>
            <w:pPr>
              <w:rPr>
                <w:sz w:val="21"/>
                <w:szCs w:val="21"/>
              </w:rPr>
            </w:pPr>
            <w:r>
              <w:rPr>
                <w:sz w:val="21"/>
                <w:szCs w:val="21"/>
              </w:rPr>
              <w:t>52.0</w:t>
            </w:r>
          </w:p>
        </w:tc>
        <w:tc>
          <w:tcPr>
            <w:vAlign w:val="center"/>
          </w:tcPr>
          <w:p>
            <w:pPr>
              <w:rPr>
                <w:sz w:val="21"/>
                <w:szCs w:val="21"/>
              </w:rPr>
            </w:pPr>
            <w:r>
              <w:rPr>
                <w:sz w:val="21"/>
                <w:szCs w:val="21"/>
              </w:rPr>
              <w:t>58.0</w:t>
            </w:r>
          </w:p>
        </w:tc>
        <w:tc>
          <w:tcPr>
            <w:vAlign w:val="center"/>
          </w:tcPr>
          <w:p>
            <w:pPr>
              <w:rPr>
                <w:sz w:val="21"/>
                <w:szCs w:val="21"/>
              </w:rPr>
            </w:pPr>
            <w:r>
              <w:rPr>
                <w:sz w:val="21"/>
                <w:szCs w:val="21"/>
              </w:rPr>
              <w:t>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面密度(kg/㎡)</w:t>
            </w:r>
          </w:p>
        </w:tc>
        <w:tc>
          <w:tcPr>
            <w:gridSpan w:val="5"/>
            <w:vAlign w:val="center"/>
          </w:tcPr>
          <w:p>
            <w:pPr>
              <w:rPr>
                <w:sz w:val="21"/>
                <w:szCs w:val="21"/>
              </w:rPr>
            </w:pPr>
            <w:r>
              <w:rPr>
                <w:sz w:val="21"/>
                <w:szCs w:val="21"/>
              </w:rPr>
              <w:t>233.1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构造做法</w:t>
            </w:r>
          </w:p>
        </w:tc>
        <w:tc>
          <w:tcPr>
            <w:gridSpan w:val="5"/>
            <w:vAlign w:val="center"/>
          </w:tcPr>
          <w:p>
            <w:pPr>
              <w:rPr>
                <w:sz w:val="21"/>
                <w:szCs w:val="21"/>
              </w:rPr>
            </w:pPr>
            <w:r>
              <w:rPr>
                <w:sz w:val="21"/>
                <w:szCs w:val="21"/>
              </w:rPr>
              <w:t>建筑钢材 10mm＋蒸压加气混凝土砌块（725-825） 160mm＋sbs改性沥青防水卷材 10mm＋岩棉板(ρ=60-160) 40mm＋水泥砂浆 5mm＋膨胀玻化微珠保温装饰板 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《建筑隔声设计—空气声隔声技术》</w:t>
            </w:r>
          </w:p>
        </w:tc>
      </w:tr>
    </w:tbl>
    <w:p>
      <w:pPr>
        <w:jc w:val="center"/>
      </w:pPr>
      <w:bookmarkStart w:id="49" w:name="外墙隔声量"/>
      <w:bookmarkEnd w:id="4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外窗(C2430)</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6高透光Low-E+12氩气+6透明-PVC塑料窗框[Kf=1.91W/(㎡·K),框面积30%]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外窗(4+6A+4中空玻璃）+空气层100厚+内窗（16.76夹层玻璃）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《建筑隔声与吸声构造》08J936</w:t>
            </w:r>
          </w:p>
        </w:tc>
      </w:tr>
    </w:tbl>
    <w:p>
      <w:pPr>
        <w:jc w:val="center"/>
        <w:rPr>
          <w:lang w:val="en-US"/>
        </w:rPr>
      </w:pPr>
      <w:bookmarkStart w:id="50" w:name="门窗隔声量"/>
      <w:bookmarkEnd w:id="50"/>
    </w:p>
    <w:p>
      <w:pPr>
        <w:pStyle w:val="4"/>
      </w:pPr>
      <w:bookmarkStart w:id="51" w:name="_Toc2276"/>
      <w:r>
        <w:rPr>
          <w:rFonts w:hint="eastAsia"/>
        </w:rPr>
        <w:t>房间</w:t>
      </w:r>
      <w:r>
        <w:t>总吸声量计算</w:t>
      </w:r>
      <w:bookmarkEnd w:id="51"/>
    </w:p>
    <w:p>
      <w:pPr>
        <w:pStyle w:val="3"/>
        <w:ind w:firstLine="420" w:firstLineChars="200"/>
        <w:rPr>
          <w:lang w:val="en-US"/>
        </w:rPr>
      </w:pPr>
      <w:r>
        <w:rPr>
          <w:rFonts w:hint="eastAsia"/>
          <w:lang w:val="en-US"/>
        </w:rPr>
        <w:t>按照下面公式计算房间在各中心频率下的总吸声量：</w:t>
      </w:r>
    </w:p>
    <w:p>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构件</w:t>
            </w:r>
          </w:p>
        </w:tc>
        <w:tc>
          <w:tcPr>
            <w:vMerge w:val="restart"/>
            <w:shd w:val="clear" w:color="auto" w:fill="E6E6E6"/>
            <w:vAlign w:val="center"/>
          </w:tcPr>
          <w:p>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pPr>
              <w:jc w:val="center"/>
              <w:rPr>
                <w:sz w:val="21"/>
                <w:szCs w:val="21"/>
              </w:rPr>
            </w:pPr>
            <w:r>
              <w:rPr>
                <w:sz w:val="21"/>
                <w:szCs w:val="21"/>
              </w:rPr>
              <w:t>各中心频率下的吸声系数</w:t>
            </w:r>
          </w:p>
        </w:tc>
        <w:tc>
          <w:tcPr>
            <w:vMerge w:val="restart"/>
            <w:shd w:val="clear" w:color="auto" w:fill="E6E6E6"/>
            <w:vAlign w:val="center"/>
          </w:tcPr>
          <w:p>
            <w:pPr>
              <w:jc w:val="center"/>
              <w:rPr>
                <w:sz w:val="21"/>
                <w:szCs w:val="21"/>
              </w:rPr>
            </w:pPr>
            <w:r>
              <w:rPr>
                <w:sz w:val="21"/>
                <w:szCs w:val="21"/>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c>
          <w:tcPr>
            <w:vMerge w:val="continue"/>
            <w:shd w:val="clear" w:color="auto" w:fill="E6E6E6"/>
            <w:vAlign w:val="center"/>
          </w:tcPr>
          <w:p>
            <w:pP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20.6</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19.8</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19.8</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54.0</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内门(M1521)</w:t>
            </w:r>
          </w:p>
        </w:tc>
        <w:tc>
          <w:tcPr>
            <w:shd w:val="clear" w:color="auto" w:fill="E6E6E6"/>
            <w:vAlign w:val="center"/>
          </w:tcPr>
          <w:p>
            <w:pPr>
              <w:rPr>
                <w:sz w:val="21"/>
                <w:szCs w:val="21"/>
              </w:rPr>
            </w:pPr>
            <w:r>
              <w:rPr>
                <w:sz w:val="21"/>
                <w:szCs w:val="21"/>
              </w:rPr>
              <w:t>3.2</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天窗</w:t>
            </w:r>
          </w:p>
        </w:tc>
        <w:tc>
          <w:tcPr>
            <w:shd w:val="clear" w:color="auto" w:fill="E6E6E6"/>
            <w:vAlign w:val="center"/>
          </w:tcPr>
          <w:p>
            <w:pPr>
              <w:rPr>
                <w:sz w:val="21"/>
                <w:szCs w:val="21"/>
              </w:rPr>
            </w:pPr>
            <w:r>
              <w:rPr>
                <w:sz w:val="21"/>
                <w:szCs w:val="21"/>
              </w:rPr>
              <w:t>31.9</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外窗(C2430)</w:t>
            </w:r>
          </w:p>
        </w:tc>
        <w:tc>
          <w:tcPr>
            <w:shd w:val="clear" w:color="auto" w:fill="E6E6E6"/>
            <w:vAlign w:val="center"/>
          </w:tcPr>
          <w:p>
            <w:pPr>
              <w:rPr>
                <w:sz w:val="21"/>
                <w:szCs w:val="21"/>
              </w:rPr>
            </w:pPr>
            <w:r>
              <w:rPr>
                <w:sz w:val="21"/>
                <w:szCs w:val="21"/>
              </w:rPr>
              <w:t>14.4</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楼板</w:t>
            </w:r>
          </w:p>
        </w:tc>
        <w:tc>
          <w:tcPr>
            <w:shd w:val="clear" w:color="auto" w:fill="E6E6E6"/>
            <w:vAlign w:val="center"/>
          </w:tcPr>
          <w:p>
            <w:pPr>
              <w:rPr>
                <w:sz w:val="21"/>
                <w:szCs w:val="21"/>
              </w:rPr>
            </w:pPr>
            <w:r>
              <w:rPr>
                <w:sz w:val="21"/>
                <w:szCs w:val="21"/>
              </w:rPr>
              <w:t>51.8</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屋顶</w:t>
            </w:r>
          </w:p>
        </w:tc>
        <w:tc>
          <w:tcPr>
            <w:shd w:val="clear" w:color="auto" w:fill="E6E6E6"/>
            <w:vAlign w:val="center"/>
          </w:tcPr>
          <w:p>
            <w:pPr>
              <w:rPr>
                <w:sz w:val="21"/>
                <w:szCs w:val="21"/>
              </w:rPr>
            </w:pPr>
            <w:r>
              <w:rPr>
                <w:sz w:val="21"/>
                <w:szCs w:val="21"/>
              </w:rPr>
              <w:t>28.0</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21"/>
                <w:szCs w:val="21"/>
              </w:rPr>
            </w:pPr>
            <w:r>
              <w:rPr>
                <w:sz w:val="21"/>
                <w:szCs w:val="21"/>
              </w:rPr>
              <w:t>总吸声量(㎡)</w:t>
            </w:r>
          </w:p>
        </w:tc>
        <w:tc>
          <w:tcPr>
            <w:vAlign w:val="center"/>
          </w:tcPr>
          <w:p>
            <w:pPr>
              <w:rPr>
                <w:sz w:val="21"/>
                <w:szCs w:val="21"/>
              </w:rPr>
            </w:pPr>
            <w:r>
              <w:rPr>
                <w:sz w:val="21"/>
                <w:szCs w:val="21"/>
              </w:rPr>
              <w:t>28.2</w:t>
            </w:r>
          </w:p>
        </w:tc>
        <w:tc>
          <w:tcPr>
            <w:vAlign w:val="center"/>
          </w:tcPr>
          <w:p>
            <w:pPr>
              <w:rPr>
                <w:sz w:val="21"/>
                <w:szCs w:val="21"/>
              </w:rPr>
            </w:pPr>
            <w:r>
              <w:rPr>
                <w:sz w:val="21"/>
                <w:szCs w:val="21"/>
              </w:rPr>
              <w:t>13.0</w:t>
            </w:r>
          </w:p>
        </w:tc>
        <w:tc>
          <w:tcPr>
            <w:vAlign w:val="center"/>
          </w:tcPr>
          <w:p>
            <w:pPr>
              <w:rPr>
                <w:sz w:val="21"/>
                <w:szCs w:val="21"/>
              </w:rPr>
            </w:pPr>
            <w:r>
              <w:rPr>
                <w:sz w:val="21"/>
                <w:szCs w:val="21"/>
              </w:rPr>
              <w:t>13.8</w:t>
            </w:r>
          </w:p>
        </w:tc>
        <w:tc>
          <w:tcPr>
            <w:vAlign w:val="center"/>
          </w:tcPr>
          <w:p>
            <w:pPr>
              <w:rPr>
                <w:sz w:val="21"/>
                <w:szCs w:val="21"/>
              </w:rPr>
            </w:pPr>
            <w:r>
              <w:rPr>
                <w:sz w:val="21"/>
                <w:szCs w:val="21"/>
              </w:rPr>
              <w:t>15.3</w:t>
            </w:r>
          </w:p>
        </w:tc>
        <w:tc>
          <w:tcPr>
            <w:vAlign w:val="center"/>
          </w:tcPr>
          <w:p>
            <w:pPr>
              <w:rPr>
                <w:sz w:val="21"/>
                <w:szCs w:val="21"/>
              </w:rPr>
            </w:pPr>
            <w:r>
              <w:rPr>
                <w:sz w:val="21"/>
                <w:szCs w:val="21"/>
              </w:rPr>
              <w:t>18.7</w:t>
            </w:r>
          </w:p>
        </w:tc>
        <w:tc>
          <w:tcPr>
            <w:vAlign w:val="center"/>
          </w:tcPr>
          <w:p>
            <w:pPr>
              <w:rPr>
                <w:sz w:val="21"/>
                <w:szCs w:val="21"/>
              </w:rPr>
            </w:pPr>
          </w:p>
        </w:tc>
      </w:tr>
    </w:tbl>
    <w:p>
      <w:pPr>
        <w:jc w:val="center"/>
        <w:rPr>
          <w:lang w:val="en-US"/>
        </w:rPr>
      </w:pPr>
      <w:bookmarkStart w:id="53" w:name="围护结构吸声量"/>
      <w:bookmarkEnd w:id="53"/>
    </w:p>
    <w:p>
      <w:pPr>
        <w:pStyle w:val="4"/>
      </w:pPr>
      <w:bookmarkStart w:id="54" w:name="_Toc14789"/>
      <w:r>
        <w:rPr>
          <w:rFonts w:hint="eastAsia"/>
        </w:rPr>
        <w:t>组合墙</w:t>
      </w:r>
      <w:r>
        <w:t>空气声隔声量计算</w:t>
      </w:r>
      <w:bookmarkEnd w:id="54"/>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5" w:name="_Toc20009"/>
      <w:r>
        <w:rPr>
          <w:rFonts w:hint="eastAsia"/>
        </w:rPr>
        <w:t>组合墙</w:t>
      </w:r>
      <w:r>
        <w:t>有效隔声量</w:t>
      </w:r>
      <w:bookmarkEnd w:id="55"/>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bookmarkStart w:id="56" w:name="_Hlk138248061"/>
      <w:r>
        <w:rPr>
          <w:rFonts w:hint="eastAsia"/>
          <w:lang w:val="en-US"/>
        </w:rPr>
        <w:t>透射系数：</w:t>
      </w:r>
    </w:p>
    <w:p>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pPr>
        <w:pStyle w:val="3"/>
        <w:ind w:firstLine="420" w:firstLineChars="200"/>
        <w:rPr>
          <w:lang w:val="en-US"/>
        </w:rPr>
      </w:pPr>
      <w:r>
        <w:rPr>
          <w:rFonts w:hint="eastAsia"/>
          <w:lang w:val="en-US"/>
        </w:rPr>
        <w:t>实际隔声量：</w:t>
      </w:r>
    </w:p>
    <w:p>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7" w:name="_Toc7960"/>
      <w:r>
        <w:rPr>
          <w:rFonts w:hint="eastAsia"/>
        </w:rPr>
        <w:t>组合墙</w:t>
      </w:r>
      <w:r>
        <w:t>隔声单值评价量、频谱修正量</w:t>
      </w:r>
      <w:bookmarkEnd w:id="57"/>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260" w:type="dxa"/>
            <w:shd w:val="clear" w:color="auto" w:fill="E6E6E6"/>
            <w:vAlign w:val="center"/>
          </w:tcPr>
          <w:p>
            <w:pPr>
              <w:jc w:val="center"/>
              <w:rPr>
                <w:sz w:val="21"/>
                <w:szCs w:val="21"/>
              </w:rPr>
            </w:pPr>
            <w:r>
              <w:rPr>
                <w:rFonts w:hint="eastAsia"/>
                <w:sz w:val="21"/>
                <w:szCs w:val="21"/>
              </w:rPr>
              <w:t>倍频程中心频率</w:t>
            </w:r>
          </w:p>
        </w:tc>
        <w:tc>
          <w:tcPr>
            <w:tcW w:w="1105" w:type="dxa"/>
            <w:shd w:val="clear" w:color="auto" w:fill="E6E6E6"/>
            <w:vAlign w:val="center"/>
          </w:tcPr>
          <w:p>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倍频程基准值Ki（dB）</w:t>
            </w:r>
          </w:p>
        </w:tc>
        <w:tc>
          <w:tcPr>
            <w:tcW w:w="1105" w:type="dxa"/>
            <w:vAlign w:val="center"/>
          </w:tcPr>
          <w:p>
            <w:pPr>
              <w:jc w:val="center"/>
              <w:rPr>
                <w:sz w:val="21"/>
                <w:szCs w:val="21"/>
              </w:rPr>
            </w:pPr>
            <w:r>
              <w:rPr>
                <w:rFonts w:hint="eastAsia"/>
                <w:sz w:val="21"/>
                <w:szCs w:val="21"/>
              </w:rPr>
              <w:t>-16</w:t>
            </w:r>
          </w:p>
        </w:tc>
        <w:tc>
          <w:tcPr>
            <w:tcW w:w="1106" w:type="dxa"/>
            <w:vAlign w:val="center"/>
          </w:tcPr>
          <w:p>
            <w:pPr>
              <w:jc w:val="center"/>
              <w:rPr>
                <w:sz w:val="21"/>
                <w:szCs w:val="21"/>
              </w:rPr>
            </w:pPr>
            <w:r>
              <w:rPr>
                <w:rFonts w:hint="eastAsia"/>
                <w:sz w:val="21"/>
                <w:szCs w:val="21"/>
              </w:rPr>
              <w:t>-7</w:t>
            </w:r>
          </w:p>
        </w:tc>
        <w:tc>
          <w:tcPr>
            <w:tcW w:w="1105" w:type="dxa"/>
            <w:vAlign w:val="center"/>
          </w:tcPr>
          <w:p>
            <w:pPr>
              <w:jc w:val="center"/>
              <w:rPr>
                <w:sz w:val="21"/>
                <w:szCs w:val="21"/>
              </w:rPr>
            </w:pPr>
            <w:r>
              <w:rPr>
                <w:rFonts w:hint="eastAsia"/>
                <w:sz w:val="21"/>
                <w:szCs w:val="21"/>
              </w:rPr>
              <w:t>0</w:t>
            </w:r>
          </w:p>
        </w:tc>
        <w:tc>
          <w:tcPr>
            <w:tcW w:w="1106" w:type="dxa"/>
            <w:vAlign w:val="center"/>
          </w:tcPr>
          <w:p>
            <w:pPr>
              <w:jc w:val="center"/>
              <w:rPr>
                <w:sz w:val="21"/>
                <w:szCs w:val="21"/>
              </w:rPr>
            </w:pPr>
            <w:r>
              <w:rPr>
                <w:rFonts w:hint="eastAsia"/>
                <w:sz w:val="21"/>
                <w:szCs w:val="21"/>
              </w:rPr>
              <w:t>3</w:t>
            </w:r>
          </w:p>
        </w:tc>
        <w:tc>
          <w:tcPr>
            <w:tcW w:w="1106" w:type="dxa"/>
            <w:vAlign w:val="center"/>
          </w:tcPr>
          <w:p>
            <w:pPr>
              <w:jc w:val="center"/>
              <w:rPr>
                <w:sz w:val="21"/>
                <w:szCs w:val="21"/>
              </w:rPr>
            </w:pPr>
            <w:r>
              <w:rPr>
                <w:rFonts w:hint="eastAsia"/>
                <w:sz w:val="21"/>
                <w:szCs w:val="21"/>
              </w:rPr>
              <w:t>4</w:t>
            </w:r>
          </w:p>
        </w:tc>
      </w:tr>
    </w:tbl>
    <w:p>
      <w:pPr>
        <w:pStyle w:val="3"/>
        <w:ind w:left="420"/>
        <w:rPr>
          <w:b/>
        </w:rPr>
      </w:pPr>
    </w:p>
    <w:p>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pPr>
        <w:pStyle w:val="3"/>
        <w:ind w:firstLine="420" w:firstLineChars="200"/>
        <w:rPr>
          <w:lang w:val="en-US"/>
        </w:rPr>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pPr>
              <w:pStyle w:val="3"/>
              <w:spacing w:line="360" w:lineRule="exact"/>
              <w:jc w:val="center"/>
              <w:rPr>
                <w:color w:val="000000"/>
              </w:rPr>
            </w:pPr>
            <w:r>
              <w:rPr>
                <w:color w:val="000000"/>
              </w:rPr>
              <w:t>125 Hz</w:t>
            </w:r>
          </w:p>
        </w:tc>
        <w:tc>
          <w:tcPr>
            <w:tcW w:w="1134" w:type="dxa"/>
            <w:shd w:val="clear" w:color="auto" w:fill="D9D9D9"/>
            <w:vAlign w:val="center"/>
          </w:tcPr>
          <w:p>
            <w:pPr>
              <w:pStyle w:val="3"/>
              <w:spacing w:line="360" w:lineRule="exact"/>
              <w:jc w:val="center"/>
              <w:rPr>
                <w:color w:val="000000"/>
              </w:rPr>
            </w:pPr>
            <w:r>
              <w:rPr>
                <w:color w:val="000000"/>
              </w:rPr>
              <w:t>250 Hz</w:t>
            </w:r>
          </w:p>
        </w:tc>
        <w:tc>
          <w:tcPr>
            <w:tcW w:w="1134" w:type="dxa"/>
            <w:shd w:val="clear" w:color="auto" w:fill="D9D9D9"/>
            <w:vAlign w:val="center"/>
          </w:tcPr>
          <w:p>
            <w:pPr>
              <w:pStyle w:val="3"/>
              <w:spacing w:line="360" w:lineRule="exact"/>
              <w:jc w:val="center"/>
              <w:rPr>
                <w:color w:val="000000"/>
              </w:rPr>
            </w:pPr>
            <w:r>
              <w:rPr>
                <w:color w:val="000000"/>
              </w:rPr>
              <w:t>500 Hz</w:t>
            </w:r>
          </w:p>
        </w:tc>
        <w:tc>
          <w:tcPr>
            <w:tcW w:w="1134" w:type="dxa"/>
            <w:shd w:val="clear" w:color="auto" w:fill="D9D9D9"/>
            <w:vAlign w:val="center"/>
          </w:tcPr>
          <w:p>
            <w:pPr>
              <w:pStyle w:val="3"/>
              <w:spacing w:line="360" w:lineRule="exact"/>
              <w:jc w:val="center"/>
              <w:rPr>
                <w:color w:val="000000"/>
              </w:rPr>
            </w:pPr>
            <w:r>
              <w:rPr>
                <w:color w:val="000000"/>
              </w:rPr>
              <w:t>1000 Hz</w:t>
            </w:r>
          </w:p>
        </w:tc>
        <w:tc>
          <w:tcPr>
            <w:tcW w:w="1134" w:type="dxa"/>
            <w:shd w:val="clear" w:color="auto" w:fill="D9D9D9"/>
            <w:vAlign w:val="center"/>
          </w:tcPr>
          <w:p>
            <w:pPr>
              <w:pStyle w:val="3"/>
              <w:spacing w:line="360" w:lineRule="exact"/>
              <w:jc w:val="center"/>
              <w:rPr>
                <w:color w:val="000000"/>
              </w:rPr>
            </w:pPr>
            <w:r>
              <w:rPr>
                <w:color w:val="000000"/>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计算粉红噪声C的频谱1</w:t>
            </w:r>
          </w:p>
        </w:tc>
        <w:tc>
          <w:tcPr>
            <w:tcW w:w="1134" w:type="dxa"/>
            <w:vAlign w:val="center"/>
          </w:tcPr>
          <w:p>
            <w:pPr>
              <w:pStyle w:val="3"/>
              <w:spacing w:line="360" w:lineRule="exact"/>
              <w:jc w:val="center"/>
              <w:rPr>
                <w:color w:val="000000"/>
              </w:rPr>
            </w:pPr>
            <w:r>
              <w:rPr>
                <w:color w:val="000000"/>
              </w:rPr>
              <w:t>-21</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-8</w:t>
            </w:r>
          </w:p>
        </w:tc>
        <w:tc>
          <w:tcPr>
            <w:tcW w:w="1134" w:type="dxa"/>
            <w:vAlign w:val="center"/>
          </w:tcPr>
          <w:p>
            <w:pPr>
              <w:pStyle w:val="3"/>
              <w:spacing w:line="360" w:lineRule="exact"/>
              <w:jc w:val="center"/>
              <w:rPr>
                <w:color w:val="000000"/>
              </w:rPr>
            </w:pPr>
            <w:r>
              <w:rPr>
                <w:color w:val="000000"/>
              </w:rPr>
              <w:t>-5</w:t>
            </w:r>
          </w:p>
        </w:tc>
        <w:tc>
          <w:tcPr>
            <w:tcW w:w="1134" w:type="dxa"/>
            <w:vAlign w:val="center"/>
          </w:tcPr>
          <w:p>
            <w:pPr>
              <w:pStyle w:val="3"/>
              <w:spacing w:line="360" w:lineRule="exact"/>
              <w:jc w:val="center"/>
              <w:rPr>
                <w:color w:val="000000"/>
              </w:rPr>
            </w:pPr>
            <w:r>
              <w:rPr>
                <w:color w:val="00000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-10</w:t>
            </w:r>
          </w:p>
        </w:tc>
        <w:tc>
          <w:tcPr>
            <w:tcW w:w="1134" w:type="dxa"/>
            <w:vAlign w:val="center"/>
          </w:tcPr>
          <w:p>
            <w:pPr>
              <w:pStyle w:val="3"/>
              <w:spacing w:line="360" w:lineRule="exact"/>
              <w:jc w:val="center"/>
              <w:rPr>
                <w:color w:val="000000"/>
              </w:rPr>
            </w:pPr>
            <w:r>
              <w:rPr>
                <w:color w:val="000000"/>
              </w:rPr>
              <w:t>-7</w:t>
            </w:r>
          </w:p>
        </w:tc>
        <w:tc>
          <w:tcPr>
            <w:tcW w:w="1134" w:type="dxa"/>
            <w:vAlign w:val="center"/>
          </w:tcPr>
          <w:p>
            <w:pPr>
              <w:pStyle w:val="3"/>
              <w:spacing w:line="360" w:lineRule="exact"/>
              <w:jc w:val="center"/>
              <w:rPr>
                <w:color w:val="000000"/>
              </w:rPr>
            </w:pPr>
            <w:r>
              <w:rPr>
                <w:color w:val="000000"/>
              </w:rPr>
              <w:t>-4</w:t>
            </w:r>
          </w:p>
        </w:tc>
        <w:tc>
          <w:tcPr>
            <w:tcW w:w="1134" w:type="dxa"/>
            <w:vAlign w:val="center"/>
          </w:tcPr>
          <w:p>
            <w:pPr>
              <w:pStyle w:val="3"/>
              <w:spacing w:line="360" w:lineRule="exact"/>
              <w:jc w:val="center"/>
              <w:rPr>
                <w:color w:val="000000"/>
              </w:rPr>
            </w:pPr>
            <w:r>
              <w:rPr>
                <w:color w:val="000000"/>
              </w:rPr>
              <w:t>-6</w:t>
            </w:r>
          </w:p>
        </w:tc>
      </w:tr>
    </w:tbl>
    <w:p>
      <w:pPr>
        <w:pStyle w:val="5"/>
      </w:pPr>
      <w:bookmarkStart w:id="60" w:name="_Toc14440"/>
      <w:r>
        <w:rPr>
          <w:rFonts w:hint="eastAsia"/>
        </w:rPr>
        <w:t>缝隙对组合墙隔声量的影响</w:t>
      </w:r>
      <w:bookmarkEnd w:id="60"/>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pPr>
        <w:pStyle w:val="3"/>
        <w:ind w:firstLine="320" w:firstLineChars="200"/>
        <w:rPr>
          <w:sz w:val="18"/>
          <w:szCs w:val="18"/>
        </w:rPr>
      </w:pPr>
      <w:r>
        <w:rPr>
          <w:rFonts w:hint="eastAsia"/>
          <w:sz w:val="16"/>
          <w:szCs w:val="16"/>
        </w:rPr>
        <w:t>注：一般的门/窗与墙之间的缝隙为0.5cm（装配式）和1cm（非装配式）。</w:t>
      </w:r>
    </w:p>
    <w:bookmarkEnd w:id="61"/>
    <w:p>
      <w:pPr>
        <w:pStyle w:val="5"/>
      </w:pPr>
      <w:bookmarkStart w:id="62" w:name="_Toc25802"/>
      <w:r>
        <w:rPr>
          <w:rFonts w:hint="eastAsia"/>
        </w:rPr>
        <w:t>组合墙隔声量计算过程</w:t>
      </w:r>
      <w:bookmarkEnd w:id="62"/>
    </w:p>
    <w:p>
      <w:pPr>
        <w:pStyle w:val="3"/>
        <w:ind w:firstLine="315" w:firstLineChars="150"/>
        <w:jc w:val="left"/>
      </w:pPr>
      <w:r>
        <w:t>本项目</w:t>
      </w:r>
      <w:r>
        <w:rPr>
          <w:rFonts w:hint="eastAsia"/>
        </w:rPr>
        <w:t>典型</w:t>
      </w:r>
      <w:r>
        <w:t>房间的情况如下图所示：</w:t>
      </w:r>
    </w:p>
    <w:p>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外墙1+外窗(C2430)×2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41.0</w:t>
            </w:r>
          </w:p>
        </w:tc>
        <w:tc>
          <w:tcPr>
            <w:vAlign w:val="center"/>
          </w:tcPr>
          <w:p>
            <w:pPr>
              <w:rPr>
                <w:sz w:val="21"/>
                <w:szCs w:val="21"/>
              </w:rPr>
            </w:pPr>
            <w:r>
              <w:rPr>
                <w:sz w:val="21"/>
                <w:szCs w:val="21"/>
              </w:rPr>
              <w:t>48.0</w:t>
            </w:r>
          </w:p>
        </w:tc>
        <w:tc>
          <w:tcPr>
            <w:vAlign w:val="center"/>
          </w:tcPr>
          <w:p>
            <w:pPr>
              <w:rPr>
                <w:sz w:val="21"/>
                <w:szCs w:val="21"/>
              </w:rPr>
            </w:pPr>
            <w:r>
              <w:rPr>
                <w:sz w:val="21"/>
                <w:szCs w:val="21"/>
              </w:rPr>
              <w:t>52.0</w:t>
            </w:r>
          </w:p>
        </w:tc>
        <w:tc>
          <w:tcPr>
            <w:vAlign w:val="center"/>
          </w:tcPr>
          <w:p>
            <w:pPr>
              <w:rPr>
                <w:sz w:val="21"/>
                <w:szCs w:val="21"/>
              </w:rPr>
            </w:pPr>
            <w:r>
              <w:rPr>
                <w:sz w:val="21"/>
                <w:szCs w:val="21"/>
              </w:rPr>
              <w:t>58.0</w:t>
            </w:r>
          </w:p>
        </w:tc>
        <w:tc>
          <w:tcPr>
            <w:vAlign w:val="center"/>
          </w:tcPr>
          <w:p>
            <w:pPr>
              <w:rPr>
                <w:sz w:val="21"/>
                <w:szCs w:val="21"/>
              </w:rPr>
            </w:pPr>
            <w:r>
              <w:rPr>
                <w:sz w:val="21"/>
                <w:szCs w:val="21"/>
              </w:rPr>
              <w:t>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外窗(C2430)隔声量(dB)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34.0</w:t>
            </w:r>
          </w:p>
        </w:tc>
        <w:tc>
          <w:tcPr>
            <w:vAlign w:val="center"/>
          </w:tcPr>
          <w:p>
            <w:pPr>
              <w:rPr>
                <w:sz w:val="21"/>
                <w:szCs w:val="21"/>
              </w:rPr>
            </w:pPr>
            <w:r>
              <w:rPr>
                <w:sz w:val="21"/>
                <w:szCs w:val="21"/>
              </w:rPr>
              <w:t>34.6</w:t>
            </w:r>
          </w:p>
        </w:tc>
        <w:tc>
          <w:tcPr>
            <w:vAlign w:val="center"/>
          </w:tcPr>
          <w:p>
            <w:pPr>
              <w:rPr>
                <w:sz w:val="21"/>
                <w:szCs w:val="21"/>
              </w:rPr>
            </w:pPr>
            <w:r>
              <w:rPr>
                <w:sz w:val="21"/>
                <w:szCs w:val="21"/>
              </w:rPr>
              <w:t>45.9</w:t>
            </w:r>
          </w:p>
        </w:tc>
        <w:tc>
          <w:tcPr>
            <w:vAlign w:val="center"/>
          </w:tcPr>
          <w:p>
            <w:pPr>
              <w:rPr>
                <w:sz w:val="21"/>
                <w:szCs w:val="21"/>
              </w:rPr>
            </w:pPr>
            <w:r>
              <w:rPr>
                <w:sz w:val="21"/>
                <w:szCs w:val="21"/>
              </w:rPr>
              <w:t>48.4</w:t>
            </w:r>
          </w:p>
        </w:tc>
        <w:tc>
          <w:tcPr>
            <w:vAlign w:val="center"/>
          </w:tcPr>
          <w:p>
            <w:pPr>
              <w:rPr>
                <w:sz w:val="21"/>
                <w:szCs w:val="21"/>
              </w:rPr>
            </w:pPr>
            <w:r>
              <w:rPr>
                <w:sz w:val="21"/>
                <w:szCs w:val="21"/>
              </w:rPr>
              <w:t>52.5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31.5</w:t>
            </w:r>
          </w:p>
        </w:tc>
        <w:tc>
          <w:tcPr>
            <w:vAlign w:val="center"/>
          </w:tcPr>
          <w:p>
            <w:pPr>
              <w:rPr>
                <w:sz w:val="21"/>
                <w:szCs w:val="21"/>
              </w:rPr>
            </w:pPr>
            <w:r>
              <w:rPr>
                <w:sz w:val="21"/>
                <w:szCs w:val="21"/>
              </w:rPr>
              <w:t>28.7</w:t>
            </w:r>
          </w:p>
        </w:tc>
        <w:tc>
          <w:tcPr>
            <w:vAlign w:val="center"/>
          </w:tcPr>
          <w:p>
            <w:pPr>
              <w:rPr>
                <w:sz w:val="21"/>
                <w:szCs w:val="21"/>
              </w:rPr>
            </w:pPr>
            <w:r>
              <w:rPr>
                <w:sz w:val="21"/>
                <w:szCs w:val="21"/>
              </w:rPr>
              <w:t>40.3</w:t>
            </w:r>
          </w:p>
        </w:tc>
        <w:tc>
          <w:tcPr>
            <w:vAlign w:val="center"/>
          </w:tcPr>
          <w:p>
            <w:pPr>
              <w:rPr>
                <w:sz w:val="21"/>
                <w:szCs w:val="21"/>
              </w:rPr>
            </w:pPr>
            <w:r>
              <w:rPr>
                <w:sz w:val="21"/>
                <w:szCs w:val="21"/>
              </w:rPr>
              <w:t>43.2</w:t>
            </w:r>
          </w:p>
        </w:tc>
        <w:tc>
          <w:tcPr>
            <w:vAlign w:val="center"/>
          </w:tcPr>
          <w:p>
            <w:pPr>
              <w:rPr>
                <w:sz w:val="21"/>
                <w:szCs w:val="21"/>
              </w:rPr>
            </w:pPr>
            <w:r>
              <w:rPr>
                <w:sz w:val="21"/>
                <w:szCs w:val="21"/>
              </w:rPr>
              <w:t>48.2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25</w:t>
            </w:r>
          </w:p>
        </w:tc>
      </w:tr>
    </w:tbl>
    <w:p>
      <w:pPr>
        <w:jc w:val="center"/>
        <w:rPr>
          <w:lang w:val="en-US"/>
        </w:rPr>
      </w:pPr>
      <w:bookmarkStart w:id="64" w:name="组合墙隔声量"/>
      <w:bookmarkEnd w:id="64"/>
    </w:p>
    <w:p>
      <w:pPr>
        <w:pStyle w:val="4"/>
      </w:pPr>
      <w:bookmarkStart w:id="65" w:name="_Toc24736"/>
      <w:r>
        <w:rPr>
          <w:rFonts w:hint="eastAsia"/>
        </w:rPr>
        <w:t>室外环境噪声通过组合墙传到室内的噪声级计算</w:t>
      </w:r>
      <w:bookmarkEnd w:id="65"/>
    </w:p>
    <w:p>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外围护结构</w:t>
            </w:r>
          </w:p>
        </w:tc>
        <w:tc>
          <w:tcPr>
            <w:gridSpan w:val="2"/>
            <w:shd w:val="clear" w:color="auto" w:fill="E6E6E6"/>
            <w:vAlign w:val="center"/>
          </w:tcPr>
          <w:p>
            <w:pPr>
              <w:jc w:val="center"/>
              <w:rPr>
                <w:sz w:val="21"/>
                <w:szCs w:val="21"/>
              </w:rPr>
            </w:pPr>
            <w:r>
              <w:rPr>
                <w:sz w:val="21"/>
                <w:szCs w:val="21"/>
              </w:rPr>
              <w:t>室外噪声级</w:t>
            </w:r>
          </w:p>
        </w:tc>
        <w:tc>
          <w:tcPr>
            <w:gridSpan w:val="2"/>
            <w:shd w:val="clear" w:color="auto" w:fill="E6E6E6"/>
            <w:vAlign w:val="center"/>
          </w:tcPr>
          <w:p>
            <w:pPr>
              <w:jc w:val="center"/>
              <w:rPr>
                <w:sz w:val="21"/>
                <w:szCs w:val="21"/>
              </w:rPr>
            </w:pPr>
            <w:r>
              <w:rPr>
                <w:sz w:val="21"/>
                <w:szCs w:val="21"/>
              </w:rPr>
              <w:t>隔声量(dB)</w:t>
            </w:r>
          </w:p>
        </w:tc>
        <w:tc>
          <w:tcPr>
            <w:gridSpan w:val="2"/>
            <w:shd w:val="clear" w:color="auto" w:fill="E6E6E6"/>
            <w:vAlign w:val="center"/>
          </w:tcPr>
          <w:p>
            <w:pPr>
              <w:jc w:val="center"/>
              <w:rPr>
                <w:sz w:val="21"/>
                <w:szCs w:val="21"/>
              </w:rPr>
            </w:pPr>
            <w:r>
              <w:rPr>
                <w:sz w:val="21"/>
                <w:szCs w:val="21"/>
              </w:rPr>
              <w:t>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外墙1+外窗(C2430)×2</w:t>
            </w:r>
          </w:p>
        </w:tc>
        <w:tc>
          <w:tcPr>
            <w:vAlign w:val="center"/>
          </w:tcPr>
          <w:p>
            <w:pPr>
              <w:rPr>
                <w:sz w:val="21"/>
                <w:szCs w:val="21"/>
              </w:rPr>
            </w:pPr>
            <w:r>
              <w:rPr>
                <w:sz w:val="21"/>
                <w:szCs w:val="21"/>
              </w:rPr>
              <w:t>39</w:t>
            </w:r>
          </w:p>
        </w:tc>
        <w:tc>
          <w:tcPr>
            <w:vAlign w:val="center"/>
          </w:tcPr>
          <w:p>
            <w:pPr>
              <w:rPr>
                <w:sz w:val="21"/>
                <w:szCs w:val="21"/>
              </w:rPr>
            </w:pPr>
            <w:r>
              <w:rPr>
                <w:sz w:val="21"/>
                <w:szCs w:val="21"/>
              </w:rPr>
              <w:t>25</w:t>
            </w:r>
          </w:p>
        </w:tc>
        <w:tc>
          <w:tcPr>
            <w:vAlign w:val="center"/>
          </w:tcPr>
          <w:p>
            <w:pPr>
              <w:rPr>
                <w:sz w:val="21"/>
                <w:szCs w:val="21"/>
              </w:rPr>
            </w:pPr>
            <w:r>
              <w:rPr>
                <w:sz w:val="21"/>
                <w:szCs w:val="21"/>
              </w:rPr>
              <w:t>25</w:t>
            </w:r>
          </w:p>
        </w:tc>
        <w:tc>
          <w:tcPr>
            <w:vAlign w:val="center"/>
          </w:tcPr>
          <w:p>
            <w:pPr>
              <w:rPr>
                <w:sz w:val="21"/>
                <w:szCs w:val="21"/>
              </w:rPr>
            </w:pPr>
            <w:r>
              <w:rPr>
                <w:sz w:val="21"/>
                <w:szCs w:val="21"/>
              </w:rPr>
              <w:t>25</w:t>
            </w:r>
          </w:p>
        </w:tc>
        <w:tc>
          <w:tcPr>
            <w:vAlign w:val="center"/>
          </w:tcPr>
          <w:p>
            <w:pPr>
              <w:rPr>
                <w:sz w:val="21"/>
                <w:szCs w:val="21"/>
              </w:rPr>
            </w:pPr>
            <w:r>
              <w:rPr>
                <w:sz w:val="21"/>
                <w:szCs w:val="21"/>
              </w:rPr>
              <w:t>14</w:t>
            </w:r>
          </w:p>
        </w:tc>
        <w:tc>
          <w:tcPr>
            <w:vAlign w:val="center"/>
          </w:tcPr>
          <w:p>
            <w:pPr>
              <w:rPr>
                <w:sz w:val="21"/>
                <w:szCs w:val="21"/>
              </w:rPr>
            </w:pPr>
            <w:r>
              <w:rPr>
                <w:sz w:val="21"/>
                <w:szCs w:val="21"/>
              </w:rPr>
              <w:t>＜5</w:t>
            </w:r>
          </w:p>
        </w:tc>
      </w:tr>
    </w:tbl>
    <w:p>
      <w:pPr>
        <w:jc w:val="center"/>
      </w:pPr>
      <w:bookmarkStart w:id="67" w:name="组合墙传到室内噪声级"/>
      <w:bookmarkEnd w:id="67"/>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32</w:t>
      </w:r>
      <w:bookmarkEnd w:id="69"/>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21</w:t>
      </w:r>
      <w:bookmarkEnd w:id="70"/>
      <w:r>
        <w:rPr>
          <w:rFonts w:hint="eastAsia"/>
          <w:b/>
          <w:lang w:val="en-US"/>
        </w:rPr>
        <w:t xml:space="preserve"> </w:t>
      </w:r>
      <w:r>
        <w:rPr>
          <w:b/>
        </w:rPr>
        <w:t>dB</w:t>
      </w:r>
      <w:r>
        <w:rPr>
          <w:rFonts w:hint="eastAsia"/>
          <w:b/>
        </w:rPr>
        <w:t>（</w:t>
      </w:r>
      <w:r>
        <w:rPr>
          <w:b/>
        </w:rPr>
        <w:t>A</w:t>
      </w:r>
      <w:r>
        <w:rPr>
          <w:rFonts w:hint="eastAsia"/>
          <w:b/>
        </w:rPr>
        <w:t>）</w:t>
      </w:r>
    </w:p>
    <w:bookmarkEnd w:id="68"/>
    <w:p>
      <w:pPr>
        <w:pStyle w:val="4"/>
      </w:pPr>
      <w:bookmarkStart w:id="71" w:name="_Toc27741"/>
      <w:r>
        <w:rPr>
          <w:rFonts w:hint="eastAsia"/>
        </w:rPr>
        <w:t>室内声源的影响</w:t>
      </w:r>
      <w:bookmarkEnd w:id="71"/>
    </w:p>
    <w:p>
      <w:pPr>
        <w:pStyle w:val="3"/>
        <w:ind w:firstLine="420"/>
        <w:rPr>
          <w:lang w:val="en-US"/>
        </w:rPr>
      </w:pPr>
      <w:r>
        <w:rPr>
          <w:rFonts w:hint="eastAsia"/>
          <w:lang w:val="en-US"/>
        </w:rPr>
        <w:t>建筑内声源对目标房间内的噪声影响由两部分构成：</w:t>
      </w:r>
    </w:p>
    <w:p>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jc w:val="center"/>
              <w:rPr>
                <w:sz w:val="21"/>
                <w:szCs w:val="21"/>
              </w:rPr>
            </w:pPr>
            <w:r>
              <w:rPr>
                <w:sz w:val="21"/>
                <w:szCs w:val="21"/>
              </w:rPr>
              <w:t>室内声源噪声级</w:t>
            </w:r>
          </w:p>
        </w:tc>
        <w:tc>
          <w:tcPr>
            <w:gridSpan w:val="2"/>
            <w:shd w:val="clear" w:color="auto" w:fill="E6E6E6"/>
            <w:vAlign w:val="center"/>
          </w:tcPr>
          <w:p>
            <w:pPr>
              <w:jc w:val="center"/>
              <w:rPr>
                <w:sz w:val="21"/>
                <w:szCs w:val="21"/>
              </w:rPr>
            </w:pPr>
            <w:r>
              <w:rPr>
                <w:sz w:val="21"/>
                <w:szCs w:val="21"/>
              </w:rPr>
              <w:t>相邻房间设备传到室内噪声级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r>
    </w:tbl>
    <w:p>
      <w:pPr>
        <w:jc w:val="center"/>
      </w:pPr>
      <w:bookmarkStart w:id="73" w:name="建筑内声源传声"/>
      <w:bookmarkEnd w:id="73"/>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74" w:name="_Toc1239"/>
      <w:r>
        <w:rPr>
          <w:rFonts w:hint="eastAsia"/>
        </w:rPr>
        <w:t>室内噪声级计算</w:t>
      </w:r>
      <w:bookmarkEnd w:id="74"/>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房间类型</w:t>
            </w:r>
          </w:p>
        </w:tc>
        <w:tc>
          <w:tcPr>
            <w:gridSpan w:val="2"/>
            <w:shd w:val="clear" w:color="auto" w:fill="E6E6E6"/>
            <w:vAlign w:val="center"/>
          </w:tcPr>
          <w:p>
            <w:pPr>
              <w:jc w:val="center"/>
              <w:rPr>
                <w:sz w:val="21"/>
                <w:szCs w:val="21"/>
              </w:rPr>
            </w:pPr>
            <w:r>
              <w:rPr>
                <w:sz w:val="21"/>
                <w:szCs w:val="21"/>
              </w:rPr>
              <w:t>室内噪声级</w:t>
            </w:r>
          </w:p>
        </w:tc>
        <w:tc>
          <w:tcPr>
            <w:gridSpan w:val="2"/>
            <w:shd w:val="clear" w:color="auto" w:fill="E6E6E6"/>
            <w:vAlign w:val="center"/>
          </w:tcPr>
          <w:p>
            <w:pPr>
              <w:jc w:val="center"/>
              <w:rPr>
                <w:sz w:val="21"/>
                <w:szCs w:val="21"/>
              </w:rPr>
            </w:pPr>
            <w:r>
              <w:rPr>
                <w:sz w:val="21"/>
                <w:szCs w:val="21"/>
              </w:rPr>
              <w:t>标准限值</w:t>
            </w:r>
          </w:p>
        </w:tc>
        <w:tc>
          <w:tcPr>
            <w:vMerge w:val="restart"/>
            <w:shd w:val="clear" w:color="auto" w:fill="E6E6E6"/>
            <w:vAlign w:val="center"/>
          </w:tcPr>
          <w:p>
            <w:pPr>
              <w:jc w:val="center"/>
              <w:rPr>
                <w:sz w:val="21"/>
                <w:szCs w:val="21"/>
              </w:rPr>
            </w:pPr>
            <w:r>
              <w:rPr>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vMerge w:val="continue"/>
            <w:shd w:val="clear" w:color="auto" w:fill="E6E6E6"/>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火锅店</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低限:≤55,高要求:≤45</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满足高要求</w:t>
            </w:r>
          </w:p>
        </w:tc>
      </w:tr>
    </w:tbl>
    <w:p>
      <w:pPr>
        <w:jc w:val="center"/>
        <w:rPr>
          <w:lang w:val="en-US"/>
        </w:rPr>
      </w:pPr>
      <w:bookmarkStart w:id="76" w:name="最不利房间室内噪声级统计"/>
      <w:bookmarkEnd w:id="76"/>
      <w:bookmarkStart w:id="77" w:name="典型房间室内噪声值"/>
      <w:bookmarkEnd w:id="77"/>
    </w:p>
    <w:p>
      <w:pPr>
        <w:pStyle w:val="4"/>
      </w:pPr>
      <w:bookmarkStart w:id="78" w:name="_Toc7173"/>
      <w:r>
        <w:rPr>
          <w:rFonts w:hint="eastAsia"/>
        </w:rPr>
        <w:t>小结</w:t>
      </w:r>
      <w:bookmarkEnd w:id="78"/>
    </w:p>
    <w:p>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vMerge w:val="restart"/>
            <w:shd w:val="clear" w:color="auto" w:fill="E6E6E6"/>
            <w:vAlign w:val="center"/>
          </w:tcPr>
          <w:p>
            <w:pPr>
              <w:jc w:val="center"/>
              <w:rPr>
                <w:sz w:val="21"/>
                <w:szCs w:val="21"/>
              </w:rPr>
            </w:pPr>
            <w:r>
              <w:rPr>
                <w:sz w:val="21"/>
                <w:szCs w:val="21"/>
              </w:rPr>
              <w:t>包含房间</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高档商店</w:t>
            </w:r>
          </w:p>
        </w:tc>
        <w:tc>
          <w:tcPr>
            <w:vAlign w:val="center"/>
          </w:tcPr>
          <w:p>
            <w:pPr>
              <w:rPr>
                <w:sz w:val="21"/>
                <w:szCs w:val="21"/>
              </w:rPr>
            </w:pPr>
            <w:r>
              <w:rPr>
                <w:sz w:val="21"/>
                <w:szCs w:val="21"/>
              </w:rPr>
              <w:t>商场商店</w:t>
            </w:r>
          </w:p>
        </w:tc>
        <w:tc>
          <w:tcPr>
            <w:vAlign w:val="center"/>
          </w:tcPr>
          <w:p>
            <w:pPr>
              <w:rPr>
                <w:sz w:val="21"/>
                <w:szCs w:val="21"/>
              </w:rPr>
            </w:pPr>
            <w:r>
              <w:rPr>
                <w:sz w:val="21"/>
                <w:szCs w:val="21"/>
              </w:rPr>
              <w:t>1007,1014,1016</w:t>
            </w:r>
            <w:r>
              <w:rPr>
                <w:sz w:val="21"/>
                <w:szCs w:val="21"/>
              </w:rPr>
              <w:br w:type="textWrapping"/>
            </w:r>
            <w:r>
              <w:rPr>
                <w:sz w:val="21"/>
                <w:szCs w:val="21"/>
              </w:rPr>
              <w:t>等4个房间</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L:≤55</w:t>
            </w:r>
            <w:r>
              <w:rPr>
                <w:sz w:val="21"/>
                <w:szCs w:val="21"/>
              </w:rPr>
              <w:br w:type="textWrapping"/>
            </w:r>
            <w:r>
              <w:rPr>
                <w:sz w:val="21"/>
                <w:szCs w:val="21"/>
              </w:rPr>
              <w:t>H:≤50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开架书库</w:t>
            </w:r>
          </w:p>
        </w:tc>
        <w:tc>
          <w:tcPr>
            <w:vAlign w:val="center"/>
          </w:tcPr>
          <w:p>
            <w:pPr>
              <w:rPr>
                <w:sz w:val="21"/>
                <w:szCs w:val="21"/>
              </w:rPr>
            </w:pPr>
            <w:r>
              <w:rPr>
                <w:sz w:val="21"/>
                <w:szCs w:val="21"/>
              </w:rPr>
              <w:t>阅览室</w:t>
            </w:r>
          </w:p>
        </w:tc>
        <w:tc>
          <w:tcPr>
            <w:vAlign w:val="center"/>
          </w:tcPr>
          <w:p>
            <w:pPr>
              <w:rPr>
                <w:sz w:val="21"/>
                <w:szCs w:val="21"/>
              </w:rPr>
            </w:pPr>
            <w:r>
              <w:rPr>
                <w:sz w:val="21"/>
                <w:szCs w:val="21"/>
              </w:rPr>
              <w:t>1002,2006</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阅览室</w:t>
            </w:r>
          </w:p>
        </w:tc>
        <w:tc>
          <w:tcPr>
            <w:vAlign w:val="center"/>
          </w:tcPr>
          <w:p>
            <w:pPr>
              <w:rPr>
                <w:sz w:val="21"/>
                <w:szCs w:val="21"/>
              </w:rPr>
            </w:pPr>
            <w:r>
              <w:rPr>
                <w:sz w:val="21"/>
                <w:szCs w:val="21"/>
              </w:rPr>
              <w:t>阅览室</w:t>
            </w:r>
          </w:p>
        </w:tc>
        <w:tc>
          <w:tcPr>
            <w:vAlign w:val="center"/>
          </w:tcPr>
          <w:p>
            <w:pPr>
              <w:rPr>
                <w:sz w:val="21"/>
                <w:szCs w:val="21"/>
              </w:rPr>
            </w:pPr>
            <w:r>
              <w:rPr>
                <w:sz w:val="21"/>
                <w:szCs w:val="21"/>
              </w:rPr>
              <w:t>1001,2005</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火锅店</w:t>
            </w:r>
          </w:p>
        </w:tc>
        <w:tc>
          <w:tcPr>
            <w:vAlign w:val="center"/>
          </w:tcPr>
          <w:p>
            <w:pPr>
              <w:rPr>
                <w:sz w:val="21"/>
                <w:szCs w:val="21"/>
              </w:rPr>
            </w:pPr>
            <w:r>
              <w:rPr>
                <w:sz w:val="21"/>
                <w:szCs w:val="21"/>
              </w:rPr>
              <w:t>餐厅</w:t>
            </w:r>
          </w:p>
        </w:tc>
        <w:tc>
          <w:tcPr>
            <w:vAlign w:val="center"/>
          </w:tcPr>
          <w:p>
            <w:pPr>
              <w:rPr>
                <w:sz w:val="21"/>
                <w:szCs w:val="21"/>
              </w:rPr>
            </w:pPr>
            <w:r>
              <w:rPr>
                <w:sz w:val="21"/>
                <w:szCs w:val="21"/>
              </w:rPr>
              <w:t>2023,2029</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酒吧、茶座</w:t>
            </w:r>
          </w:p>
        </w:tc>
        <w:tc>
          <w:tcPr>
            <w:vAlign w:val="center"/>
          </w:tcPr>
          <w:p>
            <w:pPr>
              <w:rPr>
                <w:sz w:val="21"/>
                <w:szCs w:val="21"/>
              </w:rPr>
            </w:pPr>
            <w:r>
              <w:rPr>
                <w:sz w:val="21"/>
                <w:szCs w:val="21"/>
              </w:rPr>
              <w:t>餐厅</w:t>
            </w:r>
          </w:p>
        </w:tc>
        <w:tc>
          <w:tcPr>
            <w:vAlign w:val="center"/>
          </w:tcPr>
          <w:p>
            <w:pPr>
              <w:rPr>
                <w:sz w:val="21"/>
                <w:szCs w:val="21"/>
              </w:rPr>
            </w:pPr>
            <w:r>
              <w:rPr>
                <w:sz w:val="21"/>
                <w:szCs w:val="21"/>
              </w:rPr>
              <w:t>2020</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快餐店</w:t>
            </w:r>
          </w:p>
        </w:tc>
        <w:tc>
          <w:tcPr>
            <w:vAlign w:val="center"/>
          </w:tcPr>
          <w:p>
            <w:pPr>
              <w:rPr>
                <w:sz w:val="21"/>
                <w:szCs w:val="21"/>
              </w:rPr>
            </w:pPr>
            <w:r>
              <w:rPr>
                <w:sz w:val="21"/>
                <w:szCs w:val="21"/>
              </w:rPr>
              <w:t>餐厅</w:t>
            </w:r>
          </w:p>
        </w:tc>
        <w:tc>
          <w:tcPr>
            <w:vAlign w:val="center"/>
          </w:tcPr>
          <w:p>
            <w:pPr>
              <w:rPr>
                <w:sz w:val="21"/>
                <w:szCs w:val="21"/>
              </w:rPr>
            </w:pPr>
            <w:r>
              <w:rPr>
                <w:sz w:val="21"/>
                <w:szCs w:val="21"/>
              </w:rPr>
              <w:t>2030</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中餐厅</w:t>
            </w:r>
          </w:p>
        </w:tc>
        <w:tc>
          <w:tcPr>
            <w:vAlign w:val="center"/>
          </w:tcPr>
          <w:p>
            <w:pPr>
              <w:rPr>
                <w:sz w:val="21"/>
                <w:szCs w:val="21"/>
              </w:rPr>
            </w:pPr>
            <w:r>
              <w:rPr>
                <w:sz w:val="21"/>
                <w:szCs w:val="21"/>
              </w:rPr>
              <w:t>餐厅</w:t>
            </w:r>
          </w:p>
        </w:tc>
        <w:tc>
          <w:tcPr>
            <w:vAlign w:val="center"/>
          </w:tcPr>
          <w:p>
            <w:pPr>
              <w:rPr>
                <w:sz w:val="21"/>
                <w:szCs w:val="21"/>
              </w:rPr>
            </w:pPr>
            <w:r>
              <w:rPr>
                <w:sz w:val="21"/>
                <w:szCs w:val="21"/>
              </w:rPr>
              <w:t>2017</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pPr>
      <w:bookmarkStart w:id="79" w:name="主要功能房间室内噪声值"/>
      <w:bookmarkEnd w:id="79"/>
    </w:p>
    <w:p>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pPr>
        <w:pStyle w:val="2"/>
        <w:rPr>
          <w:kern w:val="2"/>
        </w:rPr>
      </w:pPr>
      <w:bookmarkStart w:id="80" w:name="_Toc14742"/>
      <w:r>
        <w:rPr>
          <w:rFonts w:hint="eastAsia"/>
          <w:kern w:val="2"/>
        </w:rPr>
        <w:t>结论</w:t>
      </w:r>
      <w:bookmarkEnd w:id="80"/>
    </w:p>
    <w:p>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pPr>
            <w:r>
              <w:t>检查项</w:t>
            </w:r>
          </w:p>
        </w:tc>
        <w:tc>
          <w:tcPr>
            <w:tcW w:w="5616" w:type="dxa"/>
            <w:shd w:val="clear" w:color="auto" w:fill="E6E6E6"/>
          </w:tcPr>
          <w:p>
            <w:pPr>
              <w:pStyle w:val="3"/>
              <w:jc w:val="center"/>
            </w:pPr>
            <w:r>
              <w:rPr>
                <w:rFonts w:hint="eastAsia"/>
              </w:rPr>
              <w:t>评价</w:t>
            </w:r>
            <w:r>
              <w:t>依据</w:t>
            </w:r>
          </w:p>
        </w:tc>
        <w:tc>
          <w:tcPr>
            <w:tcW w:w="1694" w:type="dxa"/>
            <w:shd w:val="clear" w:color="auto" w:fill="E6E6E6"/>
            <w:vAlign w:val="center"/>
          </w:tcPr>
          <w:p>
            <w:pPr>
              <w:pStyle w:val="3"/>
              <w:jc w:val="center"/>
            </w:pPr>
            <w:r>
              <w:t>结论</w:t>
            </w:r>
          </w:p>
        </w:tc>
        <w:tc>
          <w:tcPr>
            <w:tcW w:w="731" w:type="dxa"/>
            <w:shd w:val="clear" w:color="auto" w:fill="E6E6E6"/>
            <w:vAlign w:val="center"/>
          </w:tcPr>
          <w:p>
            <w:pPr>
              <w:pStyle w:val="3"/>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pPr>
            <w:r>
              <w:t>室内噪声级</w:t>
            </w:r>
          </w:p>
        </w:tc>
        <w:tc>
          <w:tcPr>
            <w:tcW w:w="5616" w:type="dxa"/>
          </w:tcPr>
          <w:p>
            <w:pPr>
              <w:pStyle w:val="3"/>
              <w:rPr>
                <w:bCs/>
              </w:rPr>
            </w:pPr>
            <w:r>
              <w:rPr>
                <w:rFonts w:hint="eastAsia"/>
                <w:bCs/>
              </w:rPr>
              <w:t>控制项</w:t>
            </w:r>
            <w:r>
              <w:rPr>
                <w:bCs/>
              </w:rPr>
              <w:t>：</w:t>
            </w:r>
          </w:p>
          <w:p>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b/>
                <w:bCs/>
                <w:sz w:val="21"/>
                <w:szCs w:val="21"/>
              </w:rPr>
            </w:pPr>
            <w:bookmarkStart w:id="81" w:name="室内噪声控制项结论"/>
            <w:r>
              <w:rPr>
                <w:b/>
                <w:bCs/>
                <w:sz w:val="21"/>
                <w:szCs w:val="21"/>
              </w:rPr>
              <w:t>满足</w:t>
            </w:r>
            <w:bookmarkEnd w:id="81"/>
          </w:p>
        </w:tc>
        <w:tc>
          <w:tcPr>
            <w:tcW w:w="731" w:type="dxa"/>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pPr>
          </w:p>
        </w:tc>
        <w:tc>
          <w:tcPr>
            <w:tcW w:w="5616" w:type="dxa"/>
          </w:tcPr>
          <w:p>
            <w:pPr>
              <w:pStyle w:val="3"/>
              <w:rPr>
                <w:bCs/>
              </w:rPr>
            </w:pPr>
            <w:r>
              <w:rPr>
                <w:rFonts w:hint="eastAsia"/>
                <w:bCs/>
              </w:rPr>
              <w:t>评分项：</w:t>
            </w:r>
          </w:p>
          <w:p>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sz w:val="21"/>
                <w:szCs w:val="21"/>
              </w:rPr>
            </w:pPr>
            <w:bookmarkStart w:id="82" w:name="室内噪声评分项结论"/>
            <w:r>
              <w:rPr>
                <w:b/>
                <w:bCs/>
                <w:sz w:val="21"/>
                <w:szCs w:val="21"/>
              </w:rPr>
              <w:t>满足高要求</w:t>
            </w:r>
            <w:bookmarkEnd w:id="82"/>
          </w:p>
        </w:tc>
        <w:tc>
          <w:tcPr>
            <w:tcW w:w="731" w:type="dxa"/>
            <w:vAlign w:val="center"/>
          </w:tcPr>
          <w:p>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ascii="宋体" w:hAnsi="宋体" w:eastAsia="宋体"/>
          <w:sz w:val="21"/>
          <w:szCs w:val="21"/>
        </w:rPr>
      </w:pPr>
    </w:p>
    <w:p>
      <w:pPr>
        <w:snapToGrid/>
        <w:rPr>
          <w:rFonts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pPr>
        <w:pStyle w:val="2"/>
        <w:rPr>
          <w:kern w:val="2"/>
        </w:rPr>
      </w:pPr>
      <w:bookmarkStart w:id="84" w:name="_Toc147649527"/>
      <w:bookmarkStart w:id="85" w:name="_Toc26821"/>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楼层</w:t>
            </w:r>
          </w:p>
        </w:tc>
        <w:tc>
          <w:tcPr>
            <w:vMerge w:val="restart"/>
            <w:shd w:val="clear" w:color="auto" w:fill="E6E6E6"/>
            <w:vAlign w:val="center"/>
          </w:tcPr>
          <w:p>
            <w:pPr>
              <w:jc w:val="center"/>
              <w:rPr>
                <w:sz w:val="21"/>
                <w:szCs w:val="21"/>
              </w:rPr>
            </w:pPr>
            <w:r>
              <w:rPr>
                <w:sz w:val="21"/>
                <w:szCs w:val="21"/>
              </w:rPr>
              <w:t>户型</w:t>
            </w:r>
          </w:p>
        </w:tc>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gridSpan w:val="2"/>
            <w:shd w:val="clear" w:color="auto" w:fill="E6E6E6"/>
            <w:vAlign w:val="center"/>
          </w:tcPr>
          <w:p>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w:t>
            </w:r>
          </w:p>
        </w:tc>
        <w:tc>
          <w:tcPr>
            <w:vMerge w:val="restart"/>
            <w:vAlign w:val="center"/>
          </w:tcPr>
          <w:p>
            <w:pPr>
              <w:rPr>
                <w:sz w:val="21"/>
                <w:szCs w:val="21"/>
              </w:rPr>
            </w:pPr>
          </w:p>
        </w:tc>
        <w:tc>
          <w:tcPr>
            <w:vAlign w:val="center"/>
          </w:tcPr>
          <w:p>
            <w:pPr>
              <w:rPr>
                <w:sz w:val="21"/>
                <w:szCs w:val="21"/>
              </w:rPr>
            </w:pPr>
            <w:r>
              <w:rPr>
                <w:sz w:val="21"/>
                <w:szCs w:val="21"/>
              </w:rPr>
              <w:t>高档商店[1007]</w:t>
            </w:r>
          </w:p>
        </w:tc>
        <w:tc>
          <w:tcPr>
            <w:vAlign w:val="center"/>
          </w:tcPr>
          <w:p>
            <w:pPr>
              <w:rPr>
                <w:sz w:val="21"/>
                <w:szCs w:val="21"/>
              </w:rPr>
            </w:pPr>
            <w:r>
              <w:rPr>
                <w:sz w:val="21"/>
                <w:szCs w:val="21"/>
              </w:rPr>
              <w:t>商场商店</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29</w:t>
            </w:r>
          </w:p>
        </w:tc>
        <w:tc>
          <w:tcPr>
            <w:shd w:val="clear" w:color="auto" w:fill="E6E6E6"/>
            <w:vAlign w:val="center"/>
          </w:tcPr>
          <w:p>
            <w:pPr>
              <w:jc w:val="center"/>
              <w:rPr>
                <w:sz w:val="21"/>
                <w:szCs w:val="21"/>
              </w:rPr>
            </w:pPr>
            <w:r>
              <w:rPr>
                <w:b/>
                <w:sz w:val="21"/>
                <w:szCs w:val="21"/>
              </w:rPr>
              <w:t>17</w:t>
            </w:r>
          </w:p>
        </w:tc>
        <w:tc>
          <w:tcPr>
            <w:vAlign w:val="center"/>
          </w:tcPr>
          <w:p>
            <w:pPr>
              <w:jc w:val="center"/>
              <w:rPr>
                <w:sz w:val="21"/>
                <w:szCs w:val="21"/>
              </w:rPr>
            </w:pPr>
            <w:r>
              <w:rPr>
                <w:sz w:val="21"/>
                <w:szCs w:val="21"/>
              </w:rPr>
              <w:t>L:≤55</w:t>
            </w:r>
            <w:r>
              <w:rPr>
                <w:sz w:val="21"/>
                <w:szCs w:val="21"/>
              </w:rPr>
              <w:br w:type="textWrapping"/>
            </w:r>
            <w:r>
              <w:rPr>
                <w:sz w:val="21"/>
                <w:szCs w:val="21"/>
              </w:rPr>
              <w:t>H:≤50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高档商店[1014]</w:t>
            </w:r>
          </w:p>
        </w:tc>
        <w:tc>
          <w:tcPr>
            <w:vAlign w:val="center"/>
          </w:tcPr>
          <w:p>
            <w:pPr>
              <w:rPr>
                <w:sz w:val="21"/>
                <w:szCs w:val="21"/>
              </w:rPr>
            </w:pPr>
            <w:r>
              <w:rPr>
                <w:sz w:val="21"/>
                <w:szCs w:val="21"/>
              </w:rPr>
              <w:t>商场商店</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28</w:t>
            </w:r>
          </w:p>
        </w:tc>
        <w:tc>
          <w:tcPr>
            <w:shd w:val="clear" w:color="auto" w:fill="E6E6E6"/>
            <w:vAlign w:val="center"/>
          </w:tcPr>
          <w:p>
            <w:pPr>
              <w:jc w:val="center"/>
              <w:rPr>
                <w:sz w:val="21"/>
                <w:szCs w:val="21"/>
              </w:rPr>
            </w:pPr>
            <w:r>
              <w:rPr>
                <w:b/>
                <w:sz w:val="21"/>
                <w:szCs w:val="21"/>
              </w:rPr>
              <w:t>18</w:t>
            </w:r>
          </w:p>
        </w:tc>
        <w:tc>
          <w:tcPr>
            <w:vAlign w:val="center"/>
          </w:tcPr>
          <w:p>
            <w:pPr>
              <w:jc w:val="center"/>
              <w:rPr>
                <w:sz w:val="21"/>
                <w:szCs w:val="21"/>
              </w:rPr>
            </w:pPr>
            <w:r>
              <w:rPr>
                <w:sz w:val="21"/>
                <w:szCs w:val="21"/>
              </w:rPr>
              <w:t>L:≤55</w:t>
            </w:r>
            <w:r>
              <w:rPr>
                <w:sz w:val="21"/>
                <w:szCs w:val="21"/>
              </w:rPr>
              <w:br w:type="textWrapping"/>
            </w:r>
            <w:r>
              <w:rPr>
                <w:sz w:val="21"/>
                <w:szCs w:val="21"/>
              </w:rPr>
              <w:t>H:≤50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高档商店[1016]</w:t>
            </w:r>
          </w:p>
        </w:tc>
        <w:tc>
          <w:tcPr>
            <w:vAlign w:val="center"/>
          </w:tcPr>
          <w:p>
            <w:pPr>
              <w:rPr>
                <w:sz w:val="21"/>
                <w:szCs w:val="21"/>
              </w:rPr>
            </w:pPr>
            <w:r>
              <w:rPr>
                <w:sz w:val="21"/>
                <w:szCs w:val="21"/>
              </w:rPr>
              <w:t>商场商店</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26</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L:≤55</w:t>
            </w:r>
            <w:r>
              <w:rPr>
                <w:sz w:val="21"/>
                <w:szCs w:val="21"/>
              </w:rPr>
              <w:br w:type="textWrapping"/>
            </w:r>
            <w:r>
              <w:rPr>
                <w:sz w:val="21"/>
                <w:szCs w:val="21"/>
              </w:rPr>
              <w:t>H:≤50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高档商店[1017]</w:t>
            </w:r>
          </w:p>
        </w:tc>
        <w:tc>
          <w:tcPr>
            <w:vAlign w:val="center"/>
          </w:tcPr>
          <w:p>
            <w:pPr>
              <w:rPr>
                <w:sz w:val="21"/>
                <w:szCs w:val="21"/>
              </w:rPr>
            </w:pPr>
            <w:r>
              <w:rPr>
                <w:sz w:val="21"/>
                <w:szCs w:val="21"/>
              </w:rPr>
              <w:t>商场商店</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17</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L:≤55</w:t>
            </w:r>
            <w:r>
              <w:rPr>
                <w:sz w:val="21"/>
                <w:szCs w:val="21"/>
              </w:rPr>
              <w:br w:type="textWrapping"/>
            </w:r>
            <w:r>
              <w:rPr>
                <w:sz w:val="21"/>
                <w:szCs w:val="21"/>
              </w:rPr>
              <w:t>H:≤50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开架书库[1002]</w:t>
            </w:r>
          </w:p>
        </w:tc>
        <w:tc>
          <w:tcPr>
            <w:vAlign w:val="center"/>
          </w:tcPr>
          <w:p>
            <w:pPr>
              <w:rPr>
                <w:sz w:val="21"/>
                <w:szCs w:val="21"/>
              </w:rPr>
            </w:pPr>
            <w:r>
              <w:rPr>
                <w:sz w:val="21"/>
                <w:szCs w:val="21"/>
              </w:rPr>
              <w:t>阅览室</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29</w:t>
            </w:r>
          </w:p>
        </w:tc>
        <w:tc>
          <w:tcPr>
            <w:shd w:val="clear" w:color="auto" w:fill="E6E6E6"/>
            <w:vAlign w:val="center"/>
          </w:tcPr>
          <w:p>
            <w:pPr>
              <w:jc w:val="center"/>
              <w:rPr>
                <w:sz w:val="21"/>
                <w:szCs w:val="21"/>
              </w:rPr>
            </w:pPr>
            <w:r>
              <w:rPr>
                <w:b/>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阅览室[1001]</w:t>
            </w:r>
          </w:p>
        </w:tc>
        <w:tc>
          <w:tcPr>
            <w:vAlign w:val="center"/>
          </w:tcPr>
          <w:p>
            <w:pPr>
              <w:rPr>
                <w:sz w:val="21"/>
                <w:szCs w:val="21"/>
              </w:rPr>
            </w:pPr>
            <w:r>
              <w:rPr>
                <w:sz w:val="21"/>
                <w:szCs w:val="21"/>
              </w:rPr>
              <w:t>阅览室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w:t>
            </w:r>
          </w:p>
        </w:tc>
        <w:tc>
          <w:tcPr>
            <w:vMerge w:val="restart"/>
            <w:vAlign w:val="center"/>
          </w:tcPr>
          <w:p>
            <w:pPr>
              <w:rPr>
                <w:sz w:val="21"/>
                <w:szCs w:val="21"/>
              </w:rPr>
            </w:pPr>
          </w:p>
        </w:tc>
        <w:tc>
          <w:tcPr>
            <w:vAlign w:val="center"/>
          </w:tcPr>
          <w:p>
            <w:pPr>
              <w:rPr>
                <w:sz w:val="21"/>
                <w:szCs w:val="21"/>
              </w:rPr>
            </w:pPr>
            <w:r>
              <w:rPr>
                <w:sz w:val="21"/>
                <w:szCs w:val="21"/>
              </w:rPr>
              <w:t>火锅店[2023]</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21</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火锅店[2029]</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21</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酒吧、茶座[2020]</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开架书库[2006]</w:t>
            </w:r>
          </w:p>
        </w:tc>
        <w:tc>
          <w:tcPr>
            <w:vAlign w:val="center"/>
          </w:tcPr>
          <w:p>
            <w:pPr>
              <w:rPr>
                <w:sz w:val="21"/>
                <w:szCs w:val="21"/>
              </w:rPr>
            </w:pPr>
            <w:r>
              <w:rPr>
                <w:sz w:val="21"/>
                <w:szCs w:val="21"/>
              </w:rPr>
              <w:t>阅览室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14</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快餐店[2030]</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阅览室[2005]</w:t>
            </w:r>
          </w:p>
        </w:tc>
        <w:tc>
          <w:tcPr>
            <w:vAlign w:val="center"/>
          </w:tcPr>
          <w:p>
            <w:pPr>
              <w:rPr>
                <w:sz w:val="21"/>
                <w:szCs w:val="21"/>
              </w:rPr>
            </w:pPr>
            <w:r>
              <w:rPr>
                <w:sz w:val="21"/>
                <w:szCs w:val="21"/>
              </w:rPr>
              <w:t>阅览室</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24</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中餐厅[2017]</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19</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spacing w:before="240"/>
        <w:jc w:val="center"/>
        <w:rPr>
          <w:lang w:val="en-US"/>
        </w:rPr>
      </w:pPr>
      <w:bookmarkStart w:id="86" w:name="室内噪声级附录表"/>
      <w:bookmarkEnd w:id="86"/>
    </w:p>
    <w:p>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4NGE2NGJmODQzMDM3YTc4YjNhYmI0YTE5MWMxMmIifQ=="/>
  </w:docVars>
  <w:rsids>
    <w:rsidRoot w:val="18435F96"/>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18435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autoRedefine/>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autoRedefine/>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YIN~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tmp5.dotx</Template>
  <Pages>17</Pages>
  <Words>6243</Words>
  <Characters>7927</Characters>
  <Lines>57</Lines>
  <Paragraphs>16</Paragraphs>
  <TotalTime>18</TotalTime>
  <ScaleCrop>false</ScaleCrop>
  <LinksUpToDate>false</LinksUpToDate>
  <CharactersWithSpaces>8237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2024-11-23T05:58:00Z</dcterms:created>
  <dc:creator>枯木&amp;</dc:creator>
  <cp:lastModifiedBy>枯木&amp;</cp:lastModifiedBy>
  <dcterms:modified xsi:type="dcterms:W3CDTF">2024-11-23T06:17:05Z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ACF76FD2608E4C7781E4501A2EAE12FE_11</vt:lpwstr>
  </property>
  <property fmtid="{D5CDD505-2E9C-101B-9397-08002B2CF9AE}" pid="3" name="KSOProductBuildVer">
    <vt:lpwstr>2052-12.1.0.16120</vt:lpwstr>
  </property>
</Properties>
</file>