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1" w:name="_GoBack"/>
      <w:bookmarkEnd w:id="61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工业遗产改造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工业遗产改造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T18314492394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_Toc28815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_Toc17327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_Toc17327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_Toc14265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_Toc14265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_Toc11853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_Toc11853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_Toc16811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_Toc16811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_Toc5299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_Toc5299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_Toc23780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_Toc23780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_Toc18022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_Toc18022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_Toc29133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_Toc27965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_Toc8626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_Toc28921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_Toc23140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_Toc27678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_Toc14945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_Toc23396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_Toc24678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_Toc24678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_Toc14062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_Toc14062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_Toc27039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_Toc14817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_Toc11916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_Toc11916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_Toc1253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_Toc30391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_Toc19676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_Toc26896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_Toc5179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_Toc16471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_Toc27741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_Toc27565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_Toc27565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8815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云南-昆明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温和A区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25.00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102.68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工业遗产改造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3241.00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13.50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17327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14265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云南-昆明, 《建筑节能气象参数标准》JGJ346-2014</w:t>
      </w:r>
      <w:bookmarkEnd w:id="27"/>
    </w:p>
    <w:p>
      <w:pPr>
        <w:pStyle w:val="4"/>
      </w:pPr>
      <w:bookmarkStart w:id="28" w:name="_Toc11853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1681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5299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03月27日20时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15.0</w:t>
            </w:r>
          </w:p>
        </w:tc>
        <w:tc>
          <w:tcPr>
            <w:vAlign w:val="center"/>
          </w:tcPr>
          <w:p>
            <w:r>
              <w:t>6.4</w:t>
            </w:r>
          </w:p>
        </w:tc>
        <w:tc>
          <w:tcPr>
            <w:vAlign w:val="center"/>
          </w:tcPr>
          <w:p>
            <w:r>
              <w:t>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01月01日03时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3.9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23780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18022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9133"/>
      <w:r>
        <w:rPr>
          <w:kern w:val="2"/>
          <w:szCs w:val="24"/>
          <w:lang w:val="en-US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  <w:lang w:val="en-US"/>
        </w:rPr>
      </w:pPr>
      <w:bookmarkStart w:id="40" w:name="_Toc27965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混凝土，预制混凝土板，混凝土瓦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建筑钢材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58.200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0.072</w:t>
            </w:r>
          </w:p>
        </w:tc>
        <w:tc>
          <w:tcPr>
            <w:vAlign w:val="center"/>
          </w:tcPr>
          <w:p>
            <w:r>
              <w:t>0.815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2.121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0.014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屋面复合防水保温装饰板（与挤塑聚苯板复合）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0.417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2.637</w:t>
            </w:r>
          </w:p>
        </w:tc>
        <w:tc>
          <w:tcPr>
            <w:vAlign w:val="center"/>
          </w:tcPr>
          <w:p>
            <w:r>
              <w:t>3.166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8626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bookmarkStart w:id="42" w:name="_Toc28921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建筑钢材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58.200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蒸压加气混凝土砌块（725-825）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3.908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0.512</w:t>
            </w:r>
          </w:p>
        </w:tc>
        <w:tc>
          <w:tcPr>
            <w:vAlign w:val="center"/>
          </w:tcPr>
          <w:p>
            <w:r>
              <w:t>2.501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0.813</w:t>
            </w:r>
          </w:p>
        </w:tc>
        <w:tc>
          <w:tcPr>
            <w:vAlign w:val="center"/>
          </w:tcPr>
          <w:p>
            <w:r>
              <w:t>0.600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膨胀玻化微珠保温装饰板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0.235</w:t>
            </w:r>
          </w:p>
        </w:tc>
        <w:tc>
          <w:tcPr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1.601</w:t>
            </w:r>
          </w:p>
        </w:tc>
        <w:tc>
          <w:tcPr>
            <w:vAlign w:val="center"/>
          </w:tcPr>
          <w:p>
            <w:r>
              <w:t>3.902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0.57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23140"/>
      <w:r>
        <w:rPr>
          <w:kern w:val="2"/>
          <w:szCs w:val="24"/>
          <w:lang w:val="en-US"/>
        </w:rPr>
        <w:t>挑空楼板构造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bookmarkStart w:id="44" w:name="_Toc212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蒸压加气混凝土砌块（725-825）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3.908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1.563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聚乙烯泡沫塑料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0.047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0.426</w:t>
            </w:r>
          </w:p>
        </w:tc>
        <w:tc>
          <w:tcPr>
            <w:vAlign w:val="center"/>
          </w:tcPr>
          <w:p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无机保温砂浆(ρ=400)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2.068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0.893</w:t>
            </w:r>
          </w:p>
        </w:tc>
        <w:tc>
          <w:tcPr>
            <w:vAlign w:val="center"/>
          </w:tcPr>
          <w:p>
            <w:r>
              <w:t>2.216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蒸压加气混凝土砌块（725-825）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3.908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1.563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2.118</w:t>
            </w:r>
          </w:p>
        </w:tc>
        <w:tc>
          <w:tcPr>
            <w:vAlign w:val="center"/>
          </w:tcPr>
          <w:p>
            <w:r>
              <w:t>5.640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27678"/>
      <w:r>
        <w:rPr>
          <w:kern w:val="2"/>
          <w:szCs w:val="24"/>
          <w:lang w:val="en-US"/>
        </w:rPr>
        <w:t>楼板构造</w:t>
      </w:r>
      <w:bookmarkEnd w:id="45"/>
    </w:p>
    <w:p>
      <w:pPr>
        <w:pStyle w:val="5"/>
        <w:widowControl w:val="0"/>
        <w:rPr>
          <w:kern w:val="2"/>
          <w:szCs w:val="24"/>
          <w:lang w:val="en-US"/>
        </w:rPr>
      </w:pPr>
      <w:bookmarkStart w:id="46" w:name="_Toc14945"/>
      <w:r>
        <w:rPr>
          <w:kern w:val="2"/>
          <w:szCs w:val="24"/>
          <w:lang w:val="en-US"/>
        </w:rPr>
        <w:t>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建筑钢材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58.200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蒸压加气混凝土砌块（725-825）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3.908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0.384</w:t>
            </w:r>
          </w:p>
        </w:tc>
        <w:tc>
          <w:tcPr>
            <w:vAlign w:val="center"/>
          </w:tcPr>
          <w:p>
            <w:r>
              <w:t>1.876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1.016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0.174</w:t>
            </w:r>
          </w:p>
        </w:tc>
        <w:tc>
          <w:tcPr>
            <w:vAlign w:val="center"/>
          </w:tcPr>
          <w:p>
            <w:r>
              <w:t>1.630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膨胀玻化微珠保温装饰板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0.144</w:t>
            </w:r>
          </w:p>
        </w:tc>
        <w:tc>
          <w:tcPr>
            <w:vAlign w:val="center"/>
          </w:tcPr>
          <w:p>
            <w:r>
              <w:t>0.207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1.718</w:t>
            </w:r>
          </w:p>
        </w:tc>
        <w:tc>
          <w:tcPr>
            <w:vAlign w:val="center"/>
          </w:tcPr>
          <w:p>
            <w:r>
              <w:t>4.506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23396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普通保温措施玻璃门（断桥铝合金框）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48" w:name="_Toc24678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>
            <w:r>
              <w:t>1.600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>
            <w:r>
              <w:t>0.720</w:t>
            </w:r>
          </w:p>
        </w:tc>
        <w:tc>
          <w:tcPr>
            <w:vAlign w:val="center"/>
          </w:tcPr>
          <w:p>
            <w:r>
              <w:t>玻璃可见光透射比=0.72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玻璃可见光透射比=0.67</w:t>
            </w:r>
          </w:p>
        </w:tc>
      </w:tr>
    </w:tbl>
    <w:p>
      <w:pPr>
        <w:pStyle w:val="2"/>
      </w:pPr>
      <w:bookmarkStart w:id="49" w:name="_Toc14062"/>
      <w:r>
        <w:t>房间类型</w:t>
      </w:r>
      <w:bookmarkEnd w:id="49"/>
    </w:p>
    <w:p>
      <w:pPr>
        <w:pStyle w:val="4"/>
        <w:widowControl w:val="0"/>
        <w:rPr>
          <w:kern w:val="2"/>
          <w:szCs w:val="24"/>
          <w:lang w:val="en-US"/>
        </w:rPr>
      </w:pPr>
      <w:bookmarkStart w:id="50" w:name="_Toc27039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火锅店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高档商店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14817"/>
      <w:r>
        <w:rPr>
          <w:kern w:val="2"/>
          <w:szCs w:val="24"/>
          <w:lang w:val="en-US"/>
        </w:rPr>
        <w:t>作息时间表</w:t>
      </w:r>
      <w:bookmarkEnd w:id="51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2" w:name="_Toc11916"/>
      <w:r>
        <w:rPr>
          <w:kern w:val="2"/>
          <w:szCs w:val="24"/>
          <w:lang w:val="en-US"/>
        </w:rPr>
        <w:t>系统设置</w:t>
      </w:r>
      <w:bookmarkEnd w:id="52"/>
    </w:p>
    <w:p>
      <w:pPr>
        <w:pStyle w:val="4"/>
        <w:widowControl w:val="0"/>
        <w:rPr>
          <w:kern w:val="2"/>
          <w:szCs w:val="24"/>
          <w:lang w:val="en-US"/>
        </w:rPr>
      </w:pPr>
      <w:bookmarkStart w:id="53" w:name="_Toc1253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>
            <w:r>
              <w:t>冷:0.60, 暖:0.60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3004.78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30391"/>
      <w:r>
        <w:rPr>
          <w:kern w:val="2"/>
          <w:szCs w:val="24"/>
          <w:lang w:val="en-US"/>
        </w:rPr>
        <w:t>运行时间表</w:t>
      </w:r>
      <w:bookmarkEnd w:id="54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5" w:name="_Toc19676"/>
      <w:r>
        <w:rPr>
          <w:kern w:val="2"/>
          <w:szCs w:val="24"/>
          <w:lang w:val="en-US"/>
        </w:rPr>
        <w:t>计算结果</w:t>
      </w:r>
      <w:bookmarkEnd w:id="55"/>
    </w:p>
    <w:p>
      <w:pPr>
        <w:pStyle w:val="4"/>
        <w:widowControl w:val="0"/>
        <w:rPr>
          <w:kern w:val="2"/>
          <w:szCs w:val="24"/>
          <w:lang w:val="en-US"/>
        </w:rPr>
      </w:pPr>
      <w:bookmarkStart w:id="56" w:name="_Toc26896"/>
      <w:r>
        <w:rPr>
          <w:kern w:val="2"/>
          <w:szCs w:val="24"/>
          <w:lang w:val="en-US"/>
        </w:rPr>
        <w:t>模拟周期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供冷季(7.14-8.31) 供暖季(12.30-2.28)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57" w:name="_Toc5179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50682</w:t>
            </w:r>
          </w:p>
        </w:tc>
        <w:tc>
          <w:tcPr>
            <w:vAlign w:val="center"/>
          </w:tcPr>
          <w:p>
            <w:r>
              <w:t>15.64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58" w:name="_Toc16471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9.07</w:t>
            </w:r>
          </w:p>
        </w:tc>
        <w:tc>
          <w:tcPr>
            <w:vAlign w:val="center"/>
          </w:tcPr>
          <w:p>
            <w:r>
              <w:t>0.99</w:t>
            </w:r>
          </w:p>
        </w:tc>
        <w:tc>
          <w:tcPr>
            <w:vAlign w:val="center"/>
          </w:tcPr>
          <w:p>
            <w:r>
              <w:t>3.27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15.64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9" w:name="_Toc27741"/>
      <w:r>
        <w:t>逐月负荷表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20486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306.629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7月15日8时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30196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200.447</w:t>
            </w:r>
          </w:p>
        </w:tc>
        <w:tc>
          <w:tcPr>
            <w:vAlign w:val="center"/>
          </w:tcPr>
          <w:p>
            <w:r>
              <w:t>8月20日15时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60" w:name="_Toc27565"/>
      <w:r>
        <w:rPr>
          <w:kern w:val="2"/>
          <w:szCs w:val="24"/>
          <w:lang w:val="en-US"/>
        </w:rPr>
        <w:t>附录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NGE2NGJmODQzMDM3YTc4YjNhYmI0YTE5MWMxMmIifQ=="/>
  </w:docVars>
  <w:rsids>
    <w:rsidRoot w:val="7A05746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A05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14</Pages>
  <Words>4827</Words>
  <Characters>8374</Characters>
  <Lines>11</Lines>
  <Paragraphs>3</Paragraphs>
  <TotalTime>0</TotalTime>
  <ScaleCrop>false</ScaleCrop>
  <LinksUpToDate>false</LinksUpToDate>
  <CharactersWithSpaces>8416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2024-11-22T05:45:00Z</dcterms:created>
  <dc:creator>枯木&amp;</dc:creator>
  <cp:lastModifiedBy>枯木&amp;</cp:lastModifiedBy>
  <dcterms:modified xsi:type="dcterms:W3CDTF">2024-11-22T05:46:17Z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F5EF8D8AB9D44593B3560E59CB67B125_11</vt:lpwstr>
  </property>
  <property fmtid="{D5CDD505-2E9C-101B-9397-08002B2CF9AE}" pid="3" name="KSOProductBuildVer">
    <vt:lpwstr>2052-12.1.0.16120</vt:lpwstr>
  </property>
</Properties>
</file>