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88096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2" w:name="_GoBack"/>
      <w:bookmarkEnd w:id="52"/>
    </w:p>
    <w:p w14:paraId="3026F35F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5C81BF1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/>
        </w:rPr>
        <w:t>降低热岛强度措施计算</w:t>
      </w:r>
      <w:r>
        <w:rPr>
          <w:rFonts w:hint="eastAsia" w:ascii="黑体" w:hAnsi="宋体" w:eastAsia="黑体"/>
          <w:b/>
          <w:bCs/>
          <w:sz w:val="72"/>
          <w:szCs w:val="72"/>
        </w:rPr>
        <w:t>书</w:t>
      </w:r>
    </w:p>
    <w:p w14:paraId="7F9A2F8D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211F1D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D4623B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tblInd w:w="19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6B137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9DDF4C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5DDBDEC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梓潼县玛瑙镇交泰村传统村落典型建筑改造更新设计</w:t>
            </w:r>
            <w:bookmarkEnd w:id="0"/>
          </w:p>
        </w:tc>
      </w:tr>
      <w:tr w14:paraId="44146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7EBC83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9C307EB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hint="eastAsia" w:ascii="宋体" w:hAnsi="宋体"/>
                <w:szCs w:val="21"/>
              </w:rPr>
              <w:t>绵阳</w:t>
            </w:r>
            <w:bookmarkEnd w:id="1"/>
          </w:p>
        </w:tc>
      </w:tr>
      <w:tr w14:paraId="6FFD5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DA03AD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C4A1C4E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32D38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AB8B5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FDDB851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27737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CEC0A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BF9D626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4A5FA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F22E0D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3397232">
            <w:pPr>
              <w:rPr>
                <w:rFonts w:ascii="宋体" w:hAnsi="宋体"/>
                <w:szCs w:val="21"/>
              </w:rPr>
            </w:pPr>
          </w:p>
        </w:tc>
      </w:tr>
      <w:tr w14:paraId="541CF3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7889DC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664C0E7">
            <w:pPr>
              <w:rPr>
                <w:rFonts w:ascii="宋体" w:hAnsi="宋体"/>
                <w:szCs w:val="21"/>
              </w:rPr>
            </w:pPr>
          </w:p>
        </w:tc>
      </w:tr>
      <w:tr w14:paraId="4F47A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AE7BB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FD68D33">
            <w:pPr>
              <w:rPr>
                <w:rFonts w:ascii="宋体" w:hAnsi="宋体"/>
                <w:szCs w:val="21"/>
              </w:rPr>
            </w:pPr>
          </w:p>
        </w:tc>
      </w:tr>
      <w:tr w14:paraId="3FCCB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A21B95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72F7612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2024年12月22日</w:t>
            </w:r>
            <w:bookmarkEnd w:id="5"/>
          </w:p>
        </w:tc>
      </w:tr>
    </w:tbl>
    <w:p w14:paraId="504000B6">
      <w:pPr>
        <w:rPr>
          <w:rFonts w:ascii="宋体" w:hAnsi="宋体"/>
          <w:lang w:val="en-US"/>
        </w:rPr>
      </w:pPr>
    </w:p>
    <w:p w14:paraId="204F5BBE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0A58B">
      <w:pPr>
        <w:rPr>
          <w:rFonts w:ascii="宋体" w:hAnsi="宋体"/>
          <w:lang w:val="en-US"/>
        </w:rPr>
      </w:pPr>
    </w:p>
    <w:p w14:paraId="69565457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DD76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2B793F2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140E0F5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住区热环境TERA2024</w:t>
            </w:r>
            <w:bookmarkEnd w:id="7"/>
          </w:p>
        </w:tc>
      </w:tr>
      <w:tr w14:paraId="0F509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2404DDD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97D8379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20240430(SP1)</w:t>
            </w:r>
            <w:bookmarkEnd w:id="8"/>
          </w:p>
        </w:tc>
      </w:tr>
      <w:tr w14:paraId="4F5E8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90EB4E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1B9420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44B94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4663685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7A0890F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T13438130721</w:t>
            </w:r>
            <w:bookmarkEnd w:id="9"/>
          </w:p>
        </w:tc>
      </w:tr>
    </w:tbl>
    <w:p w14:paraId="24BDD0CA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7F51986D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619D7D4A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64F0CF7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43C508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_Toc29955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_Toc29955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E8B5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_Toc28391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_Toc28391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0DA19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_Toc256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_Toc256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7CC90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_Toc21400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_Toc21400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8C685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_Toc26776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_Toc26776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9C192D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_Toc19698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_Toc19698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67414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_Toc6337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_Toc6337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55118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_Toc25071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_Toc25071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4249E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_Toc31490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_Toc31490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582A3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_Toc8867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_Toc8867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523A4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_Toc8479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_Toc8479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FEE2C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_Toc7101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_Toc7101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FF3F8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_Toc1826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_Toc1826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0F077B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7930675F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324AF0B1">
      <w:pPr>
        <w:pStyle w:val="2"/>
      </w:pPr>
      <w:bookmarkStart w:id="11" w:name="_Toc401318136"/>
      <w:bookmarkStart w:id="12" w:name="_Toc29955"/>
      <w:r>
        <w:rPr>
          <w:rFonts w:hint="eastAsia"/>
        </w:rPr>
        <w:t>住区概况</w:t>
      </w:r>
      <w:bookmarkEnd w:id="11"/>
      <w:bookmarkEnd w:id="12"/>
    </w:p>
    <w:tbl>
      <w:tblPr>
        <w:tblStyle w:val="18"/>
        <w:tblW w:w="9072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16BD2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 w14:paraId="3CF65F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21DD91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hint="eastAsia" w:ascii="宋体" w:hAnsi="宋体"/>
              </w:rPr>
              <w:t>梓潼县玛瑙镇交泰村传统村落典型建筑改造更新设计</w:t>
            </w:r>
            <w:bookmarkEnd w:id="13"/>
          </w:p>
        </w:tc>
      </w:tr>
      <w:tr w14:paraId="7A73E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4783BA6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0D985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hint="eastAsia" w:ascii="宋体" w:hAnsi="宋体"/>
                <w:lang w:val="en-US"/>
              </w:rPr>
              <w:t>绵阳</w:t>
            </w:r>
            <w:bookmarkEnd w:id="14"/>
          </w:p>
        </w:tc>
      </w:tr>
      <w:tr w14:paraId="58AE6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196905D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6E572E9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类型"/>
            <w:r>
              <w:t>公共建筑</w:t>
            </w:r>
            <w:bookmarkEnd w:id="15"/>
          </w:p>
        </w:tc>
      </w:tr>
      <w:tr w14:paraId="5129D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8205E6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6FF82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31.50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685C204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104.70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 w14:paraId="057DC7BA">
      <w:pPr>
        <w:pStyle w:val="3"/>
        <w:ind w:firstLine="420"/>
        <w:rPr>
          <w:lang w:val="en-US"/>
        </w:rPr>
      </w:pPr>
    </w:p>
    <w:p w14:paraId="48366085"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7BE45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 w14:paraId="1CFD9CC3">
      <w:pPr>
        <w:pStyle w:val="3"/>
        <w:ind w:firstLine="420"/>
        <w:rPr>
          <w:lang w:val="en-US"/>
        </w:rPr>
      </w:pPr>
    </w:p>
    <w:p w14:paraId="2104F28F">
      <w:pPr>
        <w:pStyle w:val="3"/>
        <w:ind w:firstLine="420"/>
        <w:jc w:val="center"/>
        <w:rPr>
          <w:lang w:val="en-US"/>
        </w:rPr>
      </w:pPr>
      <w:bookmarkStart w:id="19" w:name="总图平面图"/>
      <w:bookmarkEnd w:id="19"/>
      <w:r>
        <w:drawing>
          <wp:inline distT="0" distB="0" distL="0" distR="0">
            <wp:extent cx="5667375" cy="38957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FCB6F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64A27919">
      <w:pPr>
        <w:pStyle w:val="2"/>
      </w:pPr>
      <w:bookmarkStart w:id="20" w:name="_Toc28391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14:paraId="1801A37A"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1.《绿色建筑评价标准》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50378-2019</w:t>
      </w:r>
    </w:p>
    <w:p w14:paraId="6561D19E"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 w14:paraId="177AE202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0ED4D46F">
      <w:pPr>
        <w:pStyle w:val="2"/>
      </w:pPr>
      <w:bookmarkStart w:id="22" w:name="_Toc256"/>
      <w:r>
        <w:rPr>
          <w:rFonts w:hint="eastAsia"/>
        </w:rPr>
        <w:t>指标详情</w:t>
      </w:r>
      <w:bookmarkEnd w:id="22"/>
    </w:p>
    <w:p w14:paraId="77C923AA">
      <w:pPr>
        <w:pStyle w:val="4"/>
      </w:pPr>
      <w:bookmarkStart w:id="23" w:name="_Toc21400"/>
      <w:r>
        <w:rPr>
          <w:rFonts w:hint="eastAsia"/>
        </w:rPr>
        <w:t>规范要求</w:t>
      </w:r>
      <w:bookmarkEnd w:id="23"/>
    </w:p>
    <w:p w14:paraId="631E06A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中有关降低热岛措施具体要求如下：</w:t>
      </w:r>
    </w:p>
    <w:p w14:paraId="073E6D11"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4DA52596"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175EEF62"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564B3239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3A31C6BA">
      <w:pPr>
        <w:pStyle w:val="3"/>
        <w:ind w:firstLine="420"/>
        <w:rPr>
          <w:lang w:val="en-US"/>
        </w:rPr>
      </w:pPr>
    </w:p>
    <w:p w14:paraId="0951E94F">
      <w:pPr>
        <w:pStyle w:val="4"/>
      </w:pPr>
      <w:bookmarkStart w:id="24" w:name="_Toc26776"/>
      <w:r>
        <w:rPr>
          <w:rFonts w:hint="eastAsia"/>
        </w:rPr>
        <w:t>计算方法</w:t>
      </w:r>
      <w:bookmarkEnd w:id="24"/>
    </w:p>
    <w:p w14:paraId="4A862D78"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427CAC8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46DC3CC3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4505B46F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2D8224D7"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603EE40B"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3246BBC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7BA8436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0694D786"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7A1157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B4C86E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1910E809">
      <w:pPr>
        <w:pStyle w:val="2"/>
      </w:pPr>
      <w:bookmarkStart w:id="25" w:name="_Toc401318141"/>
      <w:bookmarkStart w:id="26" w:name="_Toc19698"/>
      <w:r>
        <w:rPr>
          <w:rFonts w:hint="eastAsia"/>
        </w:rPr>
        <w:t>指标概览</w:t>
      </w:r>
      <w:bookmarkEnd w:id="25"/>
      <w:bookmarkEnd w:id="26"/>
    </w:p>
    <w:p w14:paraId="4F95F22F">
      <w:pPr>
        <w:pStyle w:val="4"/>
      </w:pPr>
      <w:bookmarkStart w:id="27" w:name="_Toc6337"/>
      <w:r>
        <w:rPr>
          <w:rFonts w:hint="eastAsia"/>
        </w:rPr>
        <w:t>建筑列表</w:t>
      </w:r>
      <w:bookmarkEnd w:id="2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 w14:paraId="1929D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1424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661F65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6E2745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建筑高度(m)</w:t>
            </w:r>
          </w:p>
        </w:tc>
      </w:tr>
      <w:tr w14:paraId="31751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BAFA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</w:tc>
        <w:tc>
          <w:tcPr>
            <w:vAlign w:val="center"/>
          </w:tcPr>
          <w:p w14:paraId="73256D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1133.7</w:t>
            </w:r>
          </w:p>
        </w:tc>
        <w:tc>
          <w:tcPr>
            <w:vAlign w:val="center"/>
          </w:tcPr>
          <w:p w14:paraId="362AEA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8.4</w:t>
            </w:r>
          </w:p>
        </w:tc>
      </w:tr>
      <w:tr w14:paraId="37F5E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E1CC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</w:p>
        </w:tc>
        <w:tc>
          <w:tcPr>
            <w:vAlign w:val="center"/>
          </w:tcPr>
          <w:p w14:paraId="550EB7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790.8</w:t>
            </w:r>
          </w:p>
        </w:tc>
        <w:tc>
          <w:tcPr>
            <w:vAlign w:val="center"/>
          </w:tcPr>
          <w:p w14:paraId="097084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12.6</w:t>
            </w:r>
          </w:p>
        </w:tc>
      </w:tr>
      <w:tr w14:paraId="06ACA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519F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</w:t>
            </w:r>
          </w:p>
        </w:tc>
        <w:tc>
          <w:tcPr>
            <w:vAlign w:val="center"/>
          </w:tcPr>
          <w:p w14:paraId="7D9805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975.5</w:t>
            </w:r>
          </w:p>
        </w:tc>
        <w:tc>
          <w:tcPr>
            <w:vAlign w:val="center"/>
          </w:tcPr>
          <w:p w14:paraId="29D72F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6.0</w:t>
            </w:r>
          </w:p>
        </w:tc>
      </w:tr>
      <w:tr w14:paraId="7566A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C3872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vAlign w:val="center"/>
          </w:tcPr>
          <w:p w14:paraId="640D2F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278.9</w:t>
            </w:r>
          </w:p>
        </w:tc>
        <w:tc>
          <w:tcPr>
            <w:vAlign w:val="center"/>
          </w:tcPr>
          <w:p w14:paraId="0048B5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6.4</w:t>
            </w:r>
          </w:p>
        </w:tc>
      </w:tr>
      <w:tr w14:paraId="4E07C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B072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单体模型</w:t>
            </w:r>
          </w:p>
        </w:tc>
        <w:tc>
          <w:tcPr>
            <w:vAlign w:val="center"/>
          </w:tcPr>
          <w:p w14:paraId="11AF8E0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777.4</w:t>
            </w:r>
          </w:p>
        </w:tc>
        <w:tc>
          <w:tcPr>
            <w:vAlign w:val="center"/>
          </w:tcPr>
          <w:p w14:paraId="79E2D1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15.4</w:t>
            </w:r>
          </w:p>
        </w:tc>
      </w:tr>
    </w:tbl>
    <w:p w14:paraId="5812499C">
      <w:pPr>
        <w:pStyle w:val="3"/>
        <w:ind w:firstLine="420"/>
        <w:rPr>
          <w:lang w:val="en-US"/>
        </w:rPr>
      </w:pPr>
      <w:bookmarkStart w:id="28" w:name="建筑列表"/>
      <w:bookmarkEnd w:id="28"/>
    </w:p>
    <w:p w14:paraId="5DDC8B46">
      <w:pPr>
        <w:pStyle w:val="4"/>
      </w:pPr>
      <w:bookmarkStart w:id="29" w:name="_Toc25071"/>
      <w:r>
        <w:rPr>
          <w:rFonts w:hint="eastAsia"/>
        </w:rPr>
        <w:t>各类面积指标</w:t>
      </w:r>
      <w:bookmarkEnd w:id="29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 w14:paraId="4E996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6AF4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217468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</w:tr>
      <w:tr w14:paraId="23DBB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1FA8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地块(红线)面积(㎡)</w:t>
            </w:r>
          </w:p>
        </w:tc>
        <w:tc>
          <w:tcPr>
            <w:vAlign w:val="center"/>
          </w:tcPr>
          <w:p w14:paraId="3DDBAB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27855</w:t>
            </w:r>
          </w:p>
        </w:tc>
      </w:tr>
      <w:tr w14:paraId="4E985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52783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建筑密度</w:t>
            </w:r>
          </w:p>
        </w:tc>
        <w:tc>
          <w:tcPr>
            <w:vAlign w:val="center"/>
          </w:tcPr>
          <w:p w14:paraId="2A749F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</w:tr>
      <w:tr w14:paraId="2F4DD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3B6E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室外面积(㎡)</w:t>
            </w:r>
          </w:p>
        </w:tc>
        <w:tc>
          <w:tcPr>
            <w:vAlign w:val="center"/>
          </w:tcPr>
          <w:p w14:paraId="41188C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23899</w:t>
            </w:r>
          </w:p>
        </w:tc>
      </w:tr>
      <w:tr w14:paraId="36083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0AC1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活动场地总面积(㎡)</w:t>
            </w:r>
          </w:p>
        </w:tc>
        <w:tc>
          <w:tcPr>
            <w:vAlign w:val="center"/>
          </w:tcPr>
          <w:p w14:paraId="71A41F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3822</w:t>
            </w:r>
          </w:p>
        </w:tc>
      </w:tr>
      <w:tr w14:paraId="6B0D3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75D2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乔木总投影面积(㎡)</w:t>
            </w:r>
          </w:p>
        </w:tc>
        <w:tc>
          <w:tcPr>
            <w:vAlign w:val="center"/>
          </w:tcPr>
          <w:p w14:paraId="53C818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11716</w:t>
            </w:r>
          </w:p>
        </w:tc>
      </w:tr>
      <w:tr w14:paraId="7D9F9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EB2B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爬藤总投影面积(㎡)</w:t>
            </w:r>
          </w:p>
        </w:tc>
        <w:tc>
          <w:tcPr>
            <w:vAlign w:val="center"/>
          </w:tcPr>
          <w:p w14:paraId="2095EE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143</w:t>
            </w:r>
          </w:p>
        </w:tc>
      </w:tr>
      <w:tr w14:paraId="749E5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A923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亭廊总投影面积(㎡)</w:t>
            </w:r>
          </w:p>
        </w:tc>
        <w:tc>
          <w:tcPr>
            <w:vAlign w:val="center"/>
          </w:tcPr>
          <w:p w14:paraId="0FCDC79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</w:tbl>
    <w:p w14:paraId="780CDCA5">
      <w:pPr>
        <w:pStyle w:val="3"/>
        <w:ind w:firstLine="420"/>
        <w:rPr>
          <w:lang w:val="en-US"/>
        </w:rPr>
      </w:pPr>
      <w:bookmarkStart w:id="30" w:name="面积指标"/>
      <w:bookmarkEnd w:id="30"/>
    </w:p>
    <w:p w14:paraId="0326490A">
      <w:pPr>
        <w:pStyle w:val="2"/>
      </w:pPr>
      <w:bookmarkStart w:id="31" w:name="_Toc31490"/>
      <w:r>
        <w:rPr>
          <w:rFonts w:hint="eastAsia"/>
        </w:rPr>
        <w:t>计算结果</w:t>
      </w:r>
      <w:bookmarkEnd w:id="31"/>
    </w:p>
    <w:p w14:paraId="4181BCA8">
      <w:pPr>
        <w:pStyle w:val="4"/>
      </w:pPr>
      <w:bookmarkStart w:id="32" w:name="_Toc8867"/>
      <w:r>
        <w:rPr>
          <w:rFonts w:hint="eastAsia"/>
        </w:rPr>
        <w:t>活动场地遮阴率</w:t>
      </w:r>
      <w:bookmarkEnd w:id="32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 w14:paraId="706BE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5A2BA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0D0F4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绿化遮阴(㎡)</w:t>
            </w:r>
          </w:p>
        </w:tc>
        <w:tc>
          <w:tcPr>
            <w:shd w:val="clear" w:color="auto" w:fill="E6E6E6"/>
            <w:vAlign w:val="center"/>
          </w:tcPr>
          <w:p w14:paraId="3D93ED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构筑物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6D846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日影面积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67B48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40C57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阴影区外场地面积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D5574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遮阴率(%)</w:t>
            </w:r>
          </w:p>
        </w:tc>
      </w:tr>
      <w:tr w14:paraId="15CA6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D11E3C7">
            <w:pPr>
              <w:rPr>
                <w:sz w:val="21"/>
                <w:szCs w:val="21"/>
              </w:rPr>
            </w:pPr>
          </w:p>
        </w:tc>
        <w:tc>
          <w:tcPr>
            <w:shd w:val="clear" w:color="auto" w:fill="E6E6E6"/>
            <w:vAlign w:val="center"/>
          </w:tcPr>
          <w:p w14:paraId="224D71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乔木面积</w:t>
            </w:r>
          </w:p>
        </w:tc>
        <w:tc>
          <w:tcPr>
            <w:shd w:val="clear" w:color="auto" w:fill="E6E6E6"/>
            <w:vAlign w:val="center"/>
          </w:tcPr>
          <w:p w14:paraId="6F8601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爬藤面积</w:t>
            </w:r>
          </w:p>
        </w:tc>
        <w:tc>
          <w:tcPr>
            <w:shd w:val="clear" w:color="auto" w:fill="E6E6E6"/>
            <w:vAlign w:val="center"/>
          </w:tcPr>
          <w:p w14:paraId="1854F0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1B5E796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7BB46C51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18295F6C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41DA03ED">
            <w:pPr>
              <w:rPr>
                <w:sz w:val="21"/>
                <w:szCs w:val="21"/>
              </w:rPr>
            </w:pPr>
          </w:p>
        </w:tc>
      </w:tr>
      <w:tr w14:paraId="0B3CB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EE45D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196DCCE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257.5</w:t>
            </w:r>
          </w:p>
        </w:tc>
        <w:tc>
          <w:tcPr>
            <w:vAlign w:val="center"/>
          </w:tcPr>
          <w:p w14:paraId="672B3D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143.2</w:t>
            </w:r>
          </w:p>
        </w:tc>
        <w:tc>
          <w:tcPr>
            <w:vAlign w:val="center"/>
          </w:tcPr>
          <w:p w14:paraId="58F463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C28EBA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95.3</w:t>
            </w:r>
          </w:p>
        </w:tc>
        <w:tc>
          <w:tcPr>
            <w:vAlign w:val="center"/>
          </w:tcPr>
          <w:p w14:paraId="08E09C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358.4</w:t>
            </w:r>
          </w:p>
        </w:tc>
        <w:tc>
          <w:tcPr>
            <w:vAlign w:val="center"/>
          </w:tcPr>
          <w:p w14:paraId="7BA757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1724.8</w:t>
            </w:r>
          </w:p>
        </w:tc>
        <w:tc>
          <w:tcPr>
            <w:vAlign w:val="center"/>
          </w:tcPr>
          <w:p w14:paraId="119B6C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20.8</w:t>
            </w:r>
          </w:p>
        </w:tc>
      </w:tr>
      <w:tr w14:paraId="0DE0E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9E0B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35992F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257.5</w:t>
            </w:r>
          </w:p>
        </w:tc>
        <w:tc>
          <w:tcPr>
            <w:vAlign w:val="center"/>
          </w:tcPr>
          <w:p w14:paraId="24DB4F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143.2</w:t>
            </w:r>
          </w:p>
        </w:tc>
        <w:tc>
          <w:tcPr>
            <w:vAlign w:val="center"/>
          </w:tcPr>
          <w:p w14:paraId="6B5D191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7653E9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95.3</w:t>
            </w:r>
          </w:p>
        </w:tc>
        <w:tc>
          <w:tcPr>
            <w:vAlign w:val="center"/>
          </w:tcPr>
          <w:p w14:paraId="3F11B8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358.4</w:t>
            </w:r>
          </w:p>
        </w:tc>
        <w:tc>
          <w:tcPr>
            <w:vAlign w:val="center"/>
          </w:tcPr>
          <w:p w14:paraId="714FA0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1724.8</w:t>
            </w:r>
          </w:p>
        </w:tc>
        <w:tc>
          <w:tcPr>
            <w:vAlign w:val="center"/>
          </w:tcPr>
          <w:p w14:paraId="5CC40D3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20.8</w:t>
            </w:r>
          </w:p>
        </w:tc>
      </w:tr>
    </w:tbl>
    <w:p w14:paraId="020ACE8F">
      <w:pPr>
        <w:pStyle w:val="3"/>
        <w:ind w:firstLine="420"/>
        <w:rPr>
          <w:lang w:val="en-US"/>
        </w:rPr>
      </w:pPr>
      <w:bookmarkStart w:id="33" w:name="计算结果"/>
      <w:bookmarkEnd w:id="33"/>
    </w:p>
    <w:p w14:paraId="1E427CDF">
      <w:pPr>
        <w:pStyle w:val="3"/>
        <w:ind w:firstLine="420"/>
        <w:jc w:val="center"/>
        <w:rPr>
          <w:lang w:val="en-US"/>
        </w:rPr>
      </w:pPr>
      <w:bookmarkStart w:id="34" w:name="阴影平面图"/>
      <w:bookmarkEnd w:id="34"/>
      <w:r>
        <w:drawing>
          <wp:inline distT="0" distB="0" distL="0" distR="0">
            <wp:extent cx="5667375" cy="40005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F869C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 w14:paraId="75E65835">
      <w:pPr>
        <w:pStyle w:val="4"/>
      </w:pPr>
      <w:bookmarkStart w:id="35" w:name="_Toc8479"/>
      <w:r>
        <w:rPr>
          <w:rFonts w:hint="eastAsia"/>
        </w:rPr>
        <w:t>车道热环境</w:t>
      </w:r>
      <w:r>
        <w:t>指标</w:t>
      </w:r>
      <w:bookmarkEnd w:id="35"/>
    </w:p>
    <w:p w14:paraId="1B479C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0.4或</w:t>
      </w:r>
      <w:r>
        <w:rPr>
          <w:lang w:val="en-US"/>
        </w:rPr>
        <w:t>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4D01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6A30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</w:t>
            </w:r>
          </w:p>
        </w:tc>
        <w:tc>
          <w:tcPr>
            <w:shd w:val="clear" w:color="auto" w:fill="E6E6E6"/>
            <w:vAlign w:val="center"/>
          </w:tcPr>
          <w:p w14:paraId="16E0BE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车道长度(m)</w:t>
            </w:r>
          </w:p>
        </w:tc>
        <w:tc>
          <w:tcPr>
            <w:shd w:val="clear" w:color="auto" w:fill="E6E6E6"/>
            <w:vAlign w:val="center"/>
          </w:tcPr>
          <w:p w14:paraId="141942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太阳辐射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反射系数</w:t>
            </w:r>
          </w:p>
        </w:tc>
        <w:tc>
          <w:tcPr>
            <w:shd w:val="clear" w:color="auto" w:fill="E6E6E6"/>
            <w:vAlign w:val="center"/>
          </w:tcPr>
          <w:p w14:paraId="75EBD4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建筑阴影外设有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 w14:paraId="3DB066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车道达标长度(m)</w:t>
            </w:r>
          </w:p>
        </w:tc>
      </w:tr>
      <w:tr w14:paraId="6F00F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C50C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内部车道2</w:t>
            </w:r>
          </w:p>
        </w:tc>
        <w:tc>
          <w:tcPr>
            <w:vAlign w:val="center"/>
          </w:tcPr>
          <w:p w14:paraId="153CAC3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5D620C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1A4738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5DF94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13A56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1FB9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7B95550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F1942A5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8CE5C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064BAC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1AEDF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BEE2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总达标比例(%)</w:t>
            </w:r>
          </w:p>
        </w:tc>
        <w:tc>
          <w:tcPr>
            <w:gridSpan w:val="4"/>
            <w:vAlign w:val="center"/>
          </w:tcPr>
          <w:p w14:paraId="7FFFA3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</w:tbl>
    <w:p w14:paraId="4FB56FDA">
      <w:pPr>
        <w:pStyle w:val="3"/>
        <w:ind w:firstLine="420"/>
        <w:rPr>
          <w:lang w:val="en-US"/>
        </w:rPr>
      </w:pPr>
      <w:bookmarkStart w:id="36" w:name="车道遮阴率"/>
      <w:bookmarkEnd w:id="36"/>
    </w:p>
    <w:p w14:paraId="669EBE2F">
      <w:pPr>
        <w:pStyle w:val="3"/>
        <w:ind w:firstLine="420"/>
        <w:jc w:val="center"/>
        <w:rPr>
          <w:lang w:val="en-US"/>
        </w:rPr>
      </w:pPr>
      <w:bookmarkStart w:id="37" w:name="车道遮阴率平面图"/>
      <w:bookmarkEnd w:id="37"/>
      <w:r>
        <w:drawing>
          <wp:inline distT="0" distB="0" distL="0" distR="0">
            <wp:extent cx="5667375" cy="40100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6BEEF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 w14:paraId="39CF6C17">
      <w:pPr>
        <w:pStyle w:val="4"/>
      </w:pPr>
      <w:bookmarkStart w:id="38" w:name="_Toc7101"/>
      <w:r>
        <w:rPr>
          <w:rFonts w:hint="eastAsia"/>
        </w:rPr>
        <w:t>屋顶热环境</w:t>
      </w:r>
      <w:r>
        <w:t>指标</w:t>
      </w:r>
      <w:bookmarkEnd w:id="38"/>
    </w:p>
    <w:p w14:paraId="0D5548E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 w14:paraId="6B7F0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shd w:val="clear" w:color="auto" w:fill="E6E6E6"/>
            <w:vAlign w:val="center"/>
          </w:tcPr>
          <w:p w14:paraId="64D790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</w:t>
            </w:r>
          </w:p>
        </w:tc>
        <w:tc>
          <w:tcPr>
            <w:shd w:val="clear" w:color="auto" w:fill="E6E6E6"/>
            <w:vAlign w:val="center"/>
          </w:tcPr>
          <w:p w14:paraId="0D1869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6FE098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1F769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太阳能板投影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面积(m2)</w:t>
            </w:r>
          </w:p>
        </w:tc>
        <w:tc>
          <w:tcPr>
            <w:shd w:val="clear" w:color="auto" w:fill="E6E6E6"/>
            <w:vAlign w:val="center"/>
          </w:tcPr>
          <w:p w14:paraId="409EF4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太阳辐射反射系数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 w14:paraId="5FA498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屋顶绿化、太阳能板投影及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反射达标面积占屋面比例(%)</w:t>
            </w:r>
          </w:p>
        </w:tc>
      </w:tr>
      <w:tr w14:paraId="0CCBB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62D71D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09A26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213.1</w:t>
            </w:r>
          </w:p>
        </w:tc>
        <w:tc>
          <w:tcPr>
            <w:vAlign w:val="center"/>
          </w:tcPr>
          <w:p w14:paraId="268490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85.8</w:t>
            </w:r>
          </w:p>
        </w:tc>
        <w:tc>
          <w:tcPr>
            <w:vAlign w:val="center"/>
          </w:tcPr>
          <w:p w14:paraId="6C96C3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9DC78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F4E17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40.2</w:t>
            </w:r>
          </w:p>
        </w:tc>
      </w:tr>
      <w:tr w14:paraId="0D616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440A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</w:tc>
        <w:tc>
          <w:tcPr>
            <w:vAlign w:val="center"/>
          </w:tcPr>
          <w:p w14:paraId="1B479B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1133.7</w:t>
            </w:r>
          </w:p>
        </w:tc>
        <w:tc>
          <w:tcPr>
            <w:vAlign w:val="center"/>
          </w:tcPr>
          <w:p w14:paraId="7F988A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85.8</w:t>
            </w:r>
          </w:p>
        </w:tc>
        <w:tc>
          <w:tcPr>
            <w:vAlign w:val="center"/>
          </w:tcPr>
          <w:p w14:paraId="4EB90A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4B2B5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E4530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7.6</w:t>
            </w:r>
          </w:p>
        </w:tc>
      </w:tr>
      <w:tr w14:paraId="2A97E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0E7BF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</w:p>
        </w:tc>
        <w:tc>
          <w:tcPr>
            <w:vAlign w:val="center"/>
          </w:tcPr>
          <w:p w14:paraId="310160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790.8</w:t>
            </w:r>
          </w:p>
        </w:tc>
        <w:tc>
          <w:tcPr>
            <w:vAlign w:val="center"/>
          </w:tcPr>
          <w:p w14:paraId="3A93AC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85.8</w:t>
            </w:r>
          </w:p>
        </w:tc>
        <w:tc>
          <w:tcPr>
            <w:vAlign w:val="center"/>
          </w:tcPr>
          <w:p w14:paraId="4F252F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1AC26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0CC9E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</w:t>
            </w:r>
          </w:p>
        </w:tc>
      </w:tr>
      <w:tr w14:paraId="7A95E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E4049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</w:t>
            </w:r>
          </w:p>
        </w:tc>
        <w:tc>
          <w:tcPr>
            <w:vAlign w:val="center"/>
          </w:tcPr>
          <w:p w14:paraId="5CDF6B1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975.5</w:t>
            </w:r>
          </w:p>
        </w:tc>
        <w:tc>
          <w:tcPr>
            <w:vAlign w:val="center"/>
          </w:tcPr>
          <w:p w14:paraId="056117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85.8</w:t>
            </w:r>
          </w:p>
        </w:tc>
        <w:tc>
          <w:tcPr>
            <w:vAlign w:val="center"/>
          </w:tcPr>
          <w:p w14:paraId="2C56D4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5646B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4BA7E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8.8</w:t>
            </w:r>
          </w:p>
        </w:tc>
      </w:tr>
      <w:tr w14:paraId="6663C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652A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vAlign w:val="center"/>
          </w:tcPr>
          <w:p w14:paraId="5E647F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278.9</w:t>
            </w:r>
          </w:p>
        </w:tc>
        <w:tc>
          <w:tcPr>
            <w:vAlign w:val="center"/>
          </w:tcPr>
          <w:p w14:paraId="69F2AA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85.8</w:t>
            </w:r>
          </w:p>
        </w:tc>
        <w:tc>
          <w:tcPr>
            <w:vAlign w:val="center"/>
          </w:tcPr>
          <w:p w14:paraId="7E724E3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A1FF9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A972D3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30.8</w:t>
            </w:r>
          </w:p>
        </w:tc>
      </w:tr>
      <w:tr w14:paraId="1658B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A945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单体模型</w:t>
            </w:r>
          </w:p>
        </w:tc>
        <w:tc>
          <w:tcPr>
            <w:vAlign w:val="center"/>
          </w:tcPr>
          <w:p w14:paraId="395667C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777.4</w:t>
            </w:r>
          </w:p>
        </w:tc>
        <w:tc>
          <w:tcPr>
            <w:vAlign w:val="center"/>
          </w:tcPr>
          <w:p w14:paraId="07CD15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85.8</w:t>
            </w:r>
          </w:p>
        </w:tc>
        <w:tc>
          <w:tcPr>
            <w:vAlign w:val="center"/>
          </w:tcPr>
          <w:p w14:paraId="2FC4B3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512FE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D637C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</w:t>
            </w:r>
          </w:p>
        </w:tc>
      </w:tr>
      <w:tr w14:paraId="28A5E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AD5A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5E3BB6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4169.5</w:t>
            </w:r>
          </w:p>
        </w:tc>
        <w:tc>
          <w:tcPr>
            <w:vAlign w:val="center"/>
          </w:tcPr>
          <w:p w14:paraId="38DD2F7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514.6</w:t>
            </w:r>
          </w:p>
        </w:tc>
        <w:tc>
          <w:tcPr>
            <w:vAlign w:val="center"/>
          </w:tcPr>
          <w:p w14:paraId="7C9D74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38A08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E1C81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12.3</w:t>
            </w:r>
          </w:p>
        </w:tc>
      </w:tr>
    </w:tbl>
    <w:p w14:paraId="6BC31EE2">
      <w:pPr>
        <w:pStyle w:val="3"/>
        <w:ind w:firstLine="420"/>
        <w:rPr>
          <w:lang w:val="en-US"/>
        </w:rPr>
      </w:pPr>
      <w:bookmarkStart w:id="39" w:name="屋顶遮阴率"/>
      <w:bookmarkEnd w:id="39"/>
    </w:p>
    <w:p w14:paraId="2F158EFF">
      <w:pPr>
        <w:pStyle w:val="2"/>
      </w:pPr>
      <w:bookmarkStart w:id="40" w:name="_Toc1826"/>
      <w:r>
        <w:rPr>
          <w:rFonts w:hint="eastAsia"/>
        </w:rPr>
        <w:t>评价结论</w:t>
      </w:r>
      <w:bookmarkEnd w:id="40"/>
    </w:p>
    <w:p w14:paraId="135A3184"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50378-201</w:t>
      </w:r>
      <w:r>
        <w:rPr>
          <w:rFonts w:ascii="宋体" w:hAnsi="宋体"/>
          <w:kern w:val="2"/>
          <w:szCs w:val="21"/>
          <w:lang w:val="en-US"/>
        </w:rPr>
        <w:t>9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 w14:paraId="624B4B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 w14:paraId="6BA94A6C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1CACC758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4EDD87A5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597C8A03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14:paraId="4C9BD0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1461C8F6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06183668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2A286EE4"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1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1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2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61D13E71">
            <w:bookmarkStart w:id="43" w:name="活动场地遮阴率值"/>
            <w:r>
              <w:t>20.8%</w:t>
            </w:r>
            <w:bookmarkEnd w:id="43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 w14:paraId="7580C317">
            <w:bookmarkStart w:id="44" w:name="活动场地遮阴率得分"/>
            <w:r>
              <w:t>3</w:t>
            </w:r>
            <w:bookmarkEnd w:id="44"/>
          </w:p>
        </w:tc>
      </w:tr>
      <w:tr w14:paraId="15AFB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5D73B074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6D01DEAC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场地中处于建筑阴影区外的机动车道，路面太阳辐射反射系数不小于0.4或设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5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5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6DE5E8C7">
            <w:bookmarkStart w:id="46" w:name="车道遮阴率值"/>
            <w:r>
              <w:t>100.0%</w:t>
            </w:r>
            <w:bookmarkEnd w:id="46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2CD2AA6A">
            <w:bookmarkStart w:id="47" w:name="车道遮阴得分"/>
            <w:r>
              <w:t>3</w:t>
            </w:r>
            <w:bookmarkEnd w:id="47"/>
          </w:p>
        </w:tc>
      </w:tr>
      <w:tr w14:paraId="21B21B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6F880005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447CB93C"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8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8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58E253D1">
            <w:bookmarkStart w:id="49" w:name="屋顶遮阴率值"/>
            <w:r>
              <w:t>12.3%</w:t>
            </w:r>
            <w:bookmarkEnd w:id="49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0B5CEFAC">
            <w:bookmarkStart w:id="50" w:name="屋顶遮阴得分"/>
            <w:r>
              <w:t>0</w:t>
            </w:r>
            <w:bookmarkEnd w:id="50"/>
          </w:p>
        </w:tc>
      </w:tr>
      <w:tr w14:paraId="3E579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 w14:paraId="40106C98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6A00CD36">
            <w:bookmarkStart w:id="51" w:name="降热措施总得分"/>
            <w:r>
              <w:t>6</w:t>
            </w:r>
            <w:bookmarkEnd w:id="51"/>
          </w:p>
        </w:tc>
      </w:tr>
    </w:tbl>
    <w:p w14:paraId="27254B4D">
      <w:pPr>
        <w:pStyle w:val="3"/>
        <w:ind w:firstLine="0" w:firstLineChars="0"/>
        <w:rPr>
          <w:lang w:val="en-US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0425C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5D926F6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C438A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0ABEC27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83230"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FB5BB3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521A9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21B8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  <w:rsid w:val="7FFB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眉 Char"/>
    <w:basedOn w:val="20"/>
    <w:link w:val="15"/>
    <w:qFormat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1662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Pages>8</Pages>
  <Words>1990</Words>
  <Characters>2470</Characters>
  <Lines>19</Lines>
  <Paragraphs>5</Paragraphs>
  <TotalTime>0</TotalTime>
  <ScaleCrop>false</ScaleCrop>
  <LinksUpToDate>false</LinksUpToDate>
  <CharactersWithSpaces>3303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2024-12-21T22:21:00Z</dcterms:created>
  <dc:creator>十一_</dc:creator>
  <cp:lastModifiedBy>十一_</cp:lastModifiedBy>
  <dcterms:modified xsi:type="dcterms:W3CDTF">2024-12-21T22:21:38Z</dcterms:modified>
  <dc:title>降低热岛强度措施计算书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FF3A7F8B745A4F358ED3389DBBD140E8_11</vt:lpwstr>
  </property>
</Properties>
</file>