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造园·造院——生态博物馆理念下的柏社村保护发展研究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项目名称：造园·造院——生态博物馆理念下的柏社村保护发展研究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围护结构提高11.13%或负荷降低5.3%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应用比例31.5%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全寿命期单位建筑面积碳排放强为1675.89kgCO2/（m2·a）减碳率9.37%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975.0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