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FE9B058">
      <w:pPr>
        <w:pStyle w:val="2"/>
        <w:spacing w:before="210" w:beforeAutospacing="0" w:afterAutospacing="0" w:line="360" w:lineRule="auto"/>
        <w:rPr>
          <w:rStyle w:val="6"/>
          <w:rFonts w:hint="eastAsia"/>
          <w:bCs/>
        </w:rPr>
      </w:pPr>
      <w:r>
        <w:rPr>
          <w:rStyle w:val="6"/>
          <w:rFonts w:hint="eastAsia"/>
          <w:bCs/>
        </w:rPr>
        <w:t>可再生能源应用设计</w:t>
      </w:r>
    </w:p>
    <w:p w14:paraId="4D978183">
      <w:pPr>
        <w:pStyle w:val="7"/>
        <w:widowControl w:val="0"/>
        <w:numPr>
          <w:numId w:val="0"/>
        </w:numPr>
        <w:spacing w:line="360" w:lineRule="auto"/>
        <w:ind w:firstLine="560" w:firstLineChars="200"/>
        <w:jc w:val="both"/>
        <w:rPr>
          <w:rFonts w:hint="eastAsia"/>
          <w:bCs/>
          <w:lang w:bidi="ar"/>
        </w:rPr>
      </w:pPr>
      <w:r>
        <w:rPr>
          <w:rFonts w:hint="eastAsia"/>
          <w:bCs/>
          <w:lang w:bidi="ar"/>
        </w:rPr>
        <w:t>本项目选址于广东省深圳市，该地区拥有相对可观的太阳能资源，这为我们在项目设计中充分利用可再生能源提供了良好的基础条件，也为打造绿色低碳校园创造了绝佳契机。</w:t>
      </w:r>
    </w:p>
    <w:p w14:paraId="3352BC59">
      <w:pPr>
        <w:pStyle w:val="7"/>
        <w:widowControl w:val="0"/>
        <w:numPr>
          <w:numId w:val="0"/>
        </w:numPr>
        <w:spacing w:line="360" w:lineRule="auto"/>
        <w:ind w:firstLine="560" w:firstLineChars="200"/>
        <w:jc w:val="both"/>
        <w:rPr>
          <w:rFonts w:hint="eastAsia"/>
          <w:bCs/>
          <w:lang w:bidi="ar"/>
        </w:rPr>
      </w:pPr>
      <w:r>
        <w:rPr>
          <w:rFonts w:hint="eastAsia"/>
          <w:bCs/>
          <w:lang w:bidi="ar"/>
        </w:rPr>
        <w:t>从建筑学专业角度出发，在设计过程中，我们应全面且深入地考虑太阳能的综合利用，以此降低建筑能耗，有效减少项目在建设与长期运行过程中的碳足迹，显著提升校园的环境质量，全力向 “绿色校园，近零碳校园” 的目标迈进。</w:t>
      </w:r>
    </w:p>
    <w:p w14:paraId="57E0C590">
      <w:pPr>
        <w:pStyle w:val="7"/>
        <w:widowControl w:val="0"/>
        <w:numPr>
          <w:numId w:val="0"/>
        </w:numPr>
        <w:spacing w:line="360" w:lineRule="auto"/>
        <w:ind w:firstLine="560" w:firstLineChars="200"/>
        <w:jc w:val="both"/>
        <w:rPr>
          <w:rFonts w:hint="eastAsia"/>
          <w:bCs/>
          <w:lang w:bidi="ar"/>
        </w:rPr>
      </w:pPr>
      <w:r>
        <w:rPr>
          <w:rFonts w:hint="eastAsia"/>
          <w:bCs/>
          <w:lang w:bidi="ar"/>
        </w:rPr>
        <w:t>对于图书馆部分，我们将精心设计太阳能热水系统与地源热泵的协同运作模式，以此作为生活热水的制备方案。通过高效的集热装置与精准的控制系统，充分吸收太阳能热量，并结合地源热泵的稳定性能，确保生活热水供应的稳定性与高效性。这种设计不仅能满足图书馆日常热水需求，还能在能源利用上实现优化组合，降低对传统能源的依赖。</w:t>
      </w:r>
    </w:p>
    <w:p w14:paraId="36CE63C3">
      <w:pPr>
        <w:pStyle w:val="7"/>
        <w:widowControl w:val="0"/>
        <w:numPr>
          <w:numId w:val="0"/>
        </w:numPr>
        <w:spacing w:line="360" w:lineRule="auto"/>
        <w:ind w:firstLine="560" w:firstLineChars="200"/>
        <w:jc w:val="both"/>
        <w:rPr>
          <w:rFonts w:hint="eastAsia"/>
          <w:bCs/>
          <w:lang w:bidi="ar"/>
        </w:rPr>
      </w:pPr>
      <w:r>
        <w:rPr>
          <w:rFonts w:hint="eastAsia"/>
          <w:bCs/>
          <w:lang w:bidi="ar"/>
        </w:rPr>
        <w:t>在公共建筑各单体屋面的可利用空间内，我们将系统地规划太阳能光伏发电系统的布局。依据建筑朝向、屋面坡度以及周边环境等因素，精确计算光伏板的最佳倾角与间距，确保在有限的空间内实现光伏发电效率的最大化。同时，积极引入光储直柔、光储充一体等前沿新能源技术，将产生的电能进行有效的存储与智能分配，实现电力的柔性调节和自给自足，使建筑在用电高峰时段能够利用储能装置供电，减轻电网压力，并确保关键系统在突发停电情况下的持续运行。</w:t>
      </w:r>
    </w:p>
    <w:p w14:paraId="38FDB481">
      <w:pPr>
        <w:pStyle w:val="7"/>
        <w:widowControl w:val="0"/>
        <w:numPr>
          <w:numId w:val="0"/>
        </w:numPr>
        <w:spacing w:line="360" w:lineRule="auto"/>
        <w:ind w:firstLine="560" w:firstLineChars="200"/>
        <w:jc w:val="both"/>
        <w:rPr>
          <w:rFonts w:hint="eastAsia"/>
          <w:bCs/>
          <w:lang w:bidi="ar"/>
        </w:rPr>
      </w:pPr>
      <w:r>
        <w:rPr>
          <w:rFonts w:hint="eastAsia"/>
          <w:bCs/>
          <w:lang w:bidi="ar"/>
        </w:rPr>
        <w:t>校园内的室外夜景照明系统将全部采用太阳能灯，根据不同区域的照明需求，合理选择灯具类型与功率，通过智能感应装置实现照明的自动控制，进一步降低能源消耗。此外，结合校园的交通流线、人员活动区域以及停车场地等实际情况，巧妙设置太阳能光伏雨棚和太阳能充电桩。太阳能光伏雨棚不仅能为师生提供遮阳避雨的场所，其顶部的光伏板还能持续发电，所产生的电能可直接用于周边区域的照明或为充电桩供电；而太阳能充电桩的设置，则为校园内的电动车辆提供了便捷的充电设施，推动校园交通向绿色低碳方向发展，进一步完善校园可再生能源利用的生态闭环，全方位提升校园的可持续发展能力，为师生营造一个节能环保、舒适宜人的学习与生活环境。</w:t>
      </w:r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 w14:paraId="7C831C6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208" w:type="dxa"/>
          </w:tcPr>
          <w:p w14:paraId="6728B63A">
            <w:pPr>
              <w:widowControl/>
              <w:spacing w:line="360" w:lineRule="auto"/>
              <w:ind w:firstLine="560"/>
              <w:rPr>
                <w:rStyle w:val="6"/>
                <w:rFonts w:hint="eastAsia" w:ascii="宋体" w:hAnsi="宋体" w:cs="宋体"/>
                <w:b w:val="0"/>
                <w:sz w:val="24"/>
                <w:szCs w:val="24"/>
              </w:rPr>
            </w:pPr>
            <w:bookmarkStart w:id="0" w:name="_GoBack"/>
            <w:bookmarkEnd w:id="0"/>
            <w:r>
              <w:rPr>
                <w:sz w:val="24"/>
                <w:szCs w:val="24"/>
              </w:rPr>
              <w:drawing>
                <wp:inline distT="0" distB="0" distL="0" distR="0">
                  <wp:extent cx="2699385" cy="1639570"/>
                  <wp:effectExtent l="0" t="0" r="13335" b="6350"/>
                  <wp:docPr id="1541775409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1775409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000" cy="1640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6" w:type="dxa"/>
          </w:tcPr>
          <w:p w14:paraId="1FE3AD7B">
            <w:pPr>
              <w:widowControl/>
              <w:spacing w:line="360" w:lineRule="auto"/>
              <w:ind w:firstLine="560"/>
              <w:jc w:val="center"/>
              <w:rPr>
                <w:rStyle w:val="6"/>
                <w:rFonts w:hint="eastAsia" w:ascii="宋体" w:hAnsi="宋体" w:cs="宋体"/>
                <w:b w:val="0"/>
                <w:sz w:val="24"/>
                <w:szCs w:val="24"/>
              </w:rPr>
            </w:pPr>
            <w:r>
              <w:rPr>
                <w:sz w:val="24"/>
                <w:szCs w:val="24"/>
              </w:rPr>
              <w:drawing>
                <wp:inline distT="0" distB="0" distL="0" distR="0">
                  <wp:extent cx="2699385" cy="1404620"/>
                  <wp:effectExtent l="0" t="0" r="13335" b="12700"/>
                  <wp:docPr id="1479139508" name="图片 14791395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9139508" name="图片 1479139508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t="5958" b="33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000" cy="14049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020052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208" w:type="dxa"/>
          </w:tcPr>
          <w:p w14:paraId="4CE66C25">
            <w:pPr>
              <w:widowControl/>
              <w:spacing w:line="360" w:lineRule="auto"/>
              <w:ind w:firstLine="560"/>
              <w:jc w:val="center"/>
              <w:rPr>
                <w:rStyle w:val="6"/>
                <w:rFonts w:hint="eastAsia" w:ascii="宋体" w:hAnsi="宋体" w:cs="宋体"/>
                <w:b w:val="0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屋面光伏板</w:t>
            </w:r>
          </w:p>
        </w:tc>
        <w:tc>
          <w:tcPr>
            <w:tcW w:w="5036" w:type="dxa"/>
          </w:tcPr>
          <w:p w14:paraId="3ECFACAC">
            <w:pPr>
              <w:widowControl/>
              <w:spacing w:line="360" w:lineRule="auto"/>
              <w:ind w:firstLine="560"/>
              <w:jc w:val="center"/>
              <w:rPr>
                <w:rStyle w:val="6"/>
                <w:rFonts w:hint="eastAsia" w:ascii="宋体" w:hAnsi="宋体" w:cs="宋体"/>
                <w:b w:val="0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光伏系统</w:t>
            </w:r>
          </w:p>
        </w:tc>
      </w:tr>
      <w:tr w14:paraId="6E3AD29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208" w:type="dxa"/>
          </w:tcPr>
          <w:p w14:paraId="277335CA">
            <w:pPr>
              <w:widowControl/>
              <w:spacing w:line="360" w:lineRule="auto"/>
              <w:rPr>
                <w:rStyle w:val="6"/>
                <w:rFonts w:hint="eastAsia" w:ascii="宋体" w:hAnsi="宋体" w:cs="宋体"/>
                <w:b w:val="0"/>
                <w:sz w:val="24"/>
                <w:szCs w:val="24"/>
              </w:rPr>
            </w:pPr>
            <w:r>
              <w:rPr>
                <w:sz w:val="24"/>
                <w:szCs w:val="24"/>
              </w:rPr>
              <w:drawing>
                <wp:inline distT="0" distB="0" distL="0" distR="0">
                  <wp:extent cx="2699385" cy="1696085"/>
                  <wp:effectExtent l="0" t="0" r="13335" b="10795"/>
                  <wp:docPr id="141966059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9660594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000" cy="16965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6" w:type="dxa"/>
          </w:tcPr>
          <w:p w14:paraId="09E340D5">
            <w:pPr>
              <w:widowControl/>
              <w:spacing w:line="360" w:lineRule="auto"/>
              <w:rPr>
                <w:rStyle w:val="6"/>
                <w:rFonts w:hint="eastAsia" w:ascii="宋体" w:hAnsi="宋体" w:cs="宋体"/>
                <w:b w:val="0"/>
                <w:sz w:val="24"/>
                <w:szCs w:val="24"/>
              </w:rPr>
            </w:pPr>
            <w:r>
              <w:rPr>
                <w:sz w:val="24"/>
                <w:szCs w:val="24"/>
              </w:rPr>
              <w:drawing>
                <wp:inline distT="0" distB="0" distL="0" distR="0">
                  <wp:extent cx="2699385" cy="1619885"/>
                  <wp:effectExtent l="0" t="0" r="13335" b="10795"/>
                  <wp:docPr id="199161645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1616455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000" cy="1619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1120C5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208" w:type="dxa"/>
          </w:tcPr>
          <w:p w14:paraId="61ACDE70">
            <w:pPr>
              <w:widowControl/>
              <w:spacing w:line="360" w:lineRule="auto"/>
              <w:ind w:firstLine="560"/>
              <w:jc w:val="center"/>
              <w:rPr>
                <w:rStyle w:val="6"/>
                <w:rFonts w:hint="eastAsia" w:ascii="宋体" w:hAnsi="宋体" w:cs="宋体"/>
                <w:bCs/>
                <w:sz w:val="24"/>
                <w:szCs w:val="24"/>
              </w:rPr>
            </w:pPr>
            <w:r>
              <w:rPr>
                <w:rFonts w:hint="eastAsia"/>
                <w:bCs/>
                <w:sz w:val="24"/>
                <w:szCs w:val="24"/>
              </w:rPr>
              <w:t>光伏雨棚</w:t>
            </w:r>
          </w:p>
        </w:tc>
        <w:tc>
          <w:tcPr>
            <w:tcW w:w="5036" w:type="dxa"/>
          </w:tcPr>
          <w:p w14:paraId="3FDE5FE8">
            <w:pPr>
              <w:widowControl/>
              <w:spacing w:line="360" w:lineRule="auto"/>
              <w:ind w:firstLine="560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太阳能路灯</w:t>
            </w:r>
          </w:p>
        </w:tc>
      </w:tr>
    </w:tbl>
    <w:p w14:paraId="2060F0A7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192" w:lineRule="auto"/>
      </w:pPr>
      <w:r>
        <w:separator/>
      </w:r>
    </w:p>
  </w:footnote>
  <w:footnote w:type="continuationSeparator" w:id="1">
    <w:p>
      <w:pPr>
        <w:spacing w:line="192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3F6063D"/>
    <w:rsid w:val="23F606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192" w:lineRule="auto"/>
      <w:jc w:val="both"/>
    </w:pPr>
    <w:rPr>
      <w:rFonts w:ascii="Calibri" w:hAnsi="Calibri" w:eastAsia="宋体" w:cs="Times New Roman"/>
      <w:kern w:val="2"/>
      <w:sz w:val="28"/>
      <w:szCs w:val="22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nhideWhenUsed/>
    <w:qFormat/>
    <w:uiPriority w:val="0"/>
    <w:pPr>
      <w:widowControl/>
      <w:spacing w:before="100" w:beforeAutospacing="1" w:after="100" w:afterAutospacing="1" w:line="240" w:lineRule="auto"/>
      <w:jc w:val="left"/>
    </w:pPr>
    <w:rPr>
      <w:rFonts w:ascii="宋体" w:hAnsi="宋体" w:cs="宋体"/>
      <w:kern w:val="0"/>
      <w:sz w:val="24"/>
      <w:szCs w:val="24"/>
    </w:rPr>
  </w:style>
  <w:style w:type="table" w:styleId="4">
    <w:name w:val="Table Grid"/>
    <w:basedOn w:val="3"/>
    <w:qFormat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6">
    <w:name w:val="Strong"/>
    <w:basedOn w:val="5"/>
    <w:qFormat/>
    <w:uiPriority w:val="0"/>
    <w:rPr>
      <w:b/>
    </w:rPr>
  </w:style>
  <w:style w:type="paragraph" w:styleId="7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2024-12-29T17:54:00Z</dcterms:created>
  <dc:creator>疯狂的大兔子</dc:creator>
  <cp:lastModifiedBy>疯狂的大兔子</cp:lastModifiedBy>
  <dcterms:modified xsi:type="dcterms:W3CDTF">2024-12-29T17:57:26Z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6EB1E72D24524F369FB4BA105F72A698_11</vt:lpwstr>
  </property>
  <property fmtid="{D5CDD505-2E9C-101B-9397-08002B2CF9AE}" pid="4" name="KSOTemplateDocerSaveRecord">
    <vt:lpwstr>eyJoZGlkIjoiMzc0M2UyZDEyNTczMmY2ZTJkMjkwMWE4NjQ0MGNhZWUiLCJ1c2VySWQiOiI2MzY1NTMyODQifQ==</vt:lpwstr>
  </property>
</Properties>
</file>