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A861">
      <w:pPr>
        <w:pStyle w:val="2"/>
        <w:jc w:val="center"/>
      </w:pPr>
    </w:p>
    <w:p w14:paraId="6E6F1A88">
      <w:pPr>
        <w:pStyle w:val="2"/>
        <w:jc w:val="center"/>
      </w:pPr>
    </w:p>
    <w:p w14:paraId="1978AF1F">
      <w:pPr>
        <w:pStyle w:val="2"/>
        <w:jc w:val="center"/>
      </w:pPr>
    </w:p>
    <w:p w14:paraId="7FB48239">
      <w:pPr>
        <w:pStyle w:val="2"/>
        <w:jc w:val="center"/>
      </w:pPr>
      <w:bookmarkStart w:id="0" w:name="项目名称"/>
      <w:r>
        <w:t>深圳大学图书馆</w:t>
      </w:r>
      <w:bookmarkEnd w:id="0"/>
    </w:p>
    <w:p w14:paraId="32DAA22C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717ED5AB">
      <w:pPr>
        <w:rPr>
          <w:kern w:val="44"/>
          <w:sz w:val="44"/>
          <w:szCs w:val="44"/>
        </w:rPr>
      </w:pPr>
      <w:r>
        <w:br w:type="page"/>
      </w:r>
    </w:p>
    <w:p w14:paraId="632B0586"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 w14:paraId="4738720B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t>深圳大学图书馆</w:t>
      </w:r>
    </w:p>
    <w:p w14:paraId="751D8417"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</w:rPr>
        <w:t>深圳市南山区南海大道</w:t>
      </w:r>
      <w:r>
        <w:rPr>
          <w:sz w:val="24"/>
        </w:rPr>
        <w:t>。该项目总用地面积为</w:t>
      </w: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</w:rPr>
        <w:t>15200</w:t>
      </w:r>
      <w:r>
        <w:rPr>
          <w:sz w:val="24"/>
        </w:rPr>
        <w:t xml:space="preserve"> 平方米，建筑面积为 </w:t>
      </w: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</w:rPr>
        <w:t>11800</w:t>
      </w:r>
      <w:r>
        <w:rPr>
          <w:sz w:val="24"/>
        </w:rPr>
        <w:t>平方米。</w:t>
      </w:r>
    </w:p>
    <w:p w14:paraId="0FE368E7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7325" cy="2746375"/>
            <wp:effectExtent l="0" t="0" r="9525" b="15875"/>
            <wp:docPr id="1" name="图片 1" descr="微信截图_2025022011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2201143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E54A"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 w14:paraId="60FCA6F0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36EFDEE5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 w14:paraId="557D22EA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2FEE782A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06D58809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32041ECB">
      <w:pPr>
        <w:ind w:firstLine="420"/>
        <w:rPr>
          <w:rFonts w:asciiTheme="minorEastAsia" w:hAnsiTheme="minorEastAsia"/>
          <w:sz w:val="24"/>
          <w:szCs w:val="21"/>
        </w:rPr>
      </w:pPr>
    </w:p>
    <w:p w14:paraId="36EB7465">
      <w:pPr>
        <w:pStyle w:val="2"/>
        <w:rPr>
          <w:rFonts w:hint="default" w:eastAsiaTheme="minorEastAsia"/>
          <w:sz w:val="28"/>
          <w:lang w:val="en-US" w:eastAsia="zh-CN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26EC58FD">
      <w:pPr>
        <w:ind w:firstLine="420"/>
        <w:rPr>
          <w:rFonts w:hint="eastAsia" w:eastAsiaTheme="minorEastAsia"/>
          <w:u w:val="single"/>
          <w:lang w:eastAsia="zh-CN"/>
        </w:rPr>
      </w:pPr>
      <w:r>
        <w:rPr>
          <w:rFonts w:hint="eastAsia" w:asciiTheme="minorEastAsia" w:hAnsiTheme="minorEastAsia"/>
          <w:sz w:val="24"/>
          <w:szCs w:val="21"/>
        </w:rPr>
        <w:t>地面停车占地面积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480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㎡</w:t>
      </w:r>
    </w:p>
    <w:p w14:paraId="504FD831">
      <w:pPr>
        <w:ind w:firstLine="420"/>
      </w:pPr>
    </w:p>
    <w:p w14:paraId="37530D81">
      <w:pPr>
        <w:ind w:firstLine="420"/>
        <w:rPr>
          <w:rFonts w:hint="eastAsia"/>
          <w:u w:val="single"/>
        </w:rPr>
      </w:pPr>
      <w:r>
        <w:rPr>
          <w:rFonts w:hint="eastAsia" w:asciiTheme="minorEastAsia" w:hAnsiTheme="minorEastAsia"/>
          <w:sz w:val="24"/>
          <w:szCs w:val="21"/>
        </w:rPr>
        <w:t>总建设用地面积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15200  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㎡</w:t>
      </w:r>
    </w:p>
    <w:p w14:paraId="2C702ADE">
      <w:pPr>
        <w:rPr>
          <w:rFonts w:hint="eastAsia"/>
        </w:rPr>
      </w:pPr>
    </w:p>
    <w:p w14:paraId="30D31258">
      <w:pPr>
        <w:ind w:firstLine="420"/>
      </w:pPr>
      <w:r>
        <w:rPr>
          <w:rFonts w:hint="eastAsia"/>
        </w:rPr>
        <w:t>地面停车率=</w:t>
      </w:r>
      <w:r>
        <w:rPr>
          <w:rFonts w:hint="eastAsia" w:asciiTheme="minorEastAsia" w:hAnsiTheme="minorEastAsia"/>
          <w:sz w:val="24"/>
          <w:szCs w:val="21"/>
        </w:rPr>
        <w:t>地面停车占地面积</w:t>
      </w:r>
      <w:r>
        <w:rPr>
          <w:rFonts w:hint="eastAsia"/>
        </w:rPr>
        <w:t>/</w:t>
      </w:r>
      <w:r>
        <w:rPr>
          <w:rFonts w:hint="eastAsia" w:asciiTheme="minorEastAsia" w:hAnsiTheme="minorEastAsia"/>
          <w:sz w:val="24"/>
          <w:szCs w:val="21"/>
        </w:rPr>
        <w:t>总建设用地面积</w:t>
      </w:r>
    </w:p>
    <w:p w14:paraId="21A5E585">
      <w:pPr>
        <w:ind w:left="1260" w:firstLine="210" w:firstLineChars="100"/>
      </w:pPr>
    </w:p>
    <w:p w14:paraId="79B4DCDF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480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15200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3.1％</w:t>
      </w:r>
      <w:r>
        <w:rPr>
          <w:u w:val="single"/>
        </w:rPr>
        <w:t xml:space="preserve">    </w:t>
      </w:r>
    </w:p>
    <w:p w14:paraId="71D892B1">
      <w:pPr>
        <w:rPr>
          <w:u w:val="single"/>
        </w:rPr>
      </w:pPr>
    </w:p>
    <w:p w14:paraId="2E923C00">
      <w:pPr>
        <w:rPr>
          <w:u w:val="single"/>
        </w:rPr>
      </w:pPr>
    </w:p>
    <w:p w14:paraId="29EDEB47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6DDBA9C6"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3.1％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  <w:bookmarkStart w:id="1" w:name="_GoBack"/>
      <w:bookmarkEnd w:id="1"/>
    </w:p>
    <w:p w14:paraId="2874382F"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7C9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323</Characters>
  <Lines>3</Lines>
  <Paragraphs>1</Paragraphs>
  <TotalTime>7</TotalTime>
  <ScaleCrop>false</ScaleCrop>
  <LinksUpToDate>false</LinksUpToDate>
  <CharactersWithSpaces>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Administrator</cp:lastModifiedBy>
  <dcterms:modified xsi:type="dcterms:W3CDTF">2025-02-20T03:50:13Z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eyJoZGlkIjoiZDE4OTJjMTc2NDQyMzViMTU3MjNjZjI1NDhkMmRhMGIifQ==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B0B2A433F3A8499FB43FBBD290E036F6_13</vt:lpwstr>
  </property>
</Properties>
</file>