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E8FD" w14:textId="77777777" w:rsidR="00271C96" w:rsidRPr="00271C96" w:rsidRDefault="00271C96" w:rsidP="00271C96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可再循环材料和可再利用材料用量计算书</w:t>
      </w:r>
    </w:p>
    <w:p w14:paraId="508CFA11" w14:textId="77777777" w:rsidR="00271C96" w:rsidRPr="00271C96" w:rsidRDefault="00271C96" w:rsidP="00271C9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宋体" w:eastAsia="宋体" w:hAnsi="宋体" w:cs="宋体"/>
          <w:kern w:val="0"/>
          <w:sz w:val="24"/>
          <w:szCs w:val="24"/>
        </w:rPr>
        <w:pict w14:anchorId="1F300D4D">
          <v:rect id="_x0000_i1025" style="width:0;height:1.5pt" o:hralign="center" o:hrstd="t" o:hr="t" fillcolor="#a0a0a0" stroked="f"/>
        </w:pict>
      </w:r>
    </w:p>
    <w:p w14:paraId="4B6234F1" w14:textId="77777777" w:rsidR="00271C96" w:rsidRPr="00271C96" w:rsidRDefault="00271C96" w:rsidP="00271C9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71C96">
        <w:rPr>
          <w:rFonts w:ascii="Segoe UI" w:eastAsia="宋体" w:hAnsi="Segoe UI" w:cs="Segoe UI"/>
          <w:b/>
          <w:bCs/>
          <w:kern w:val="0"/>
          <w:sz w:val="27"/>
          <w:szCs w:val="27"/>
        </w:rPr>
        <w:t>项目信息</w:t>
      </w:r>
    </w:p>
    <w:p w14:paraId="1195E86E" w14:textId="77777777" w:rsidR="00271C96" w:rsidRPr="00271C96" w:rsidRDefault="00271C96" w:rsidP="00271C96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工程名称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：古韵新生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张爱玲故居的低碳活化再利用</w:t>
      </w:r>
    </w:p>
    <w:p w14:paraId="3F02867F" w14:textId="77777777" w:rsidR="00271C96" w:rsidRPr="00271C96" w:rsidRDefault="00271C96" w:rsidP="00271C96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工程地点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：浙江绍兴</w:t>
      </w:r>
    </w:p>
    <w:p w14:paraId="5EEE9B5D" w14:textId="77777777" w:rsidR="00271C96" w:rsidRPr="00271C96" w:rsidRDefault="00271C96" w:rsidP="00271C96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建筑类型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：公共建筑（甲类）</w:t>
      </w:r>
    </w:p>
    <w:p w14:paraId="02CB27D7" w14:textId="77777777" w:rsidR="00271C96" w:rsidRPr="00271C96" w:rsidRDefault="00271C96" w:rsidP="00271C96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建筑面积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：地上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966m²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，地下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0m²</w:t>
      </w:r>
    </w:p>
    <w:p w14:paraId="46C4098B" w14:textId="77777777" w:rsidR="00271C96" w:rsidRPr="00271C96" w:rsidRDefault="00271C96" w:rsidP="00271C96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建筑层数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：地上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层</w:t>
      </w:r>
    </w:p>
    <w:p w14:paraId="69AEFA4E" w14:textId="77777777" w:rsidR="00271C96" w:rsidRPr="00271C96" w:rsidRDefault="00271C96" w:rsidP="00271C9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宋体" w:eastAsia="宋体" w:hAnsi="宋体" w:cs="宋体"/>
          <w:kern w:val="0"/>
          <w:sz w:val="24"/>
          <w:szCs w:val="24"/>
        </w:rPr>
        <w:pict w14:anchorId="117B030A">
          <v:rect id="_x0000_i1026" style="width:0;height:1.5pt" o:hralign="center" o:hrstd="t" o:hr="t" fillcolor="#a0a0a0" stroked="f"/>
        </w:pict>
      </w:r>
    </w:p>
    <w:p w14:paraId="78C566E3" w14:textId="77777777" w:rsidR="00271C96" w:rsidRPr="00271C96" w:rsidRDefault="00271C96" w:rsidP="00271C9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71C96">
        <w:rPr>
          <w:rFonts w:ascii="Segoe UI" w:eastAsia="宋体" w:hAnsi="Segoe UI" w:cs="Segoe UI"/>
          <w:b/>
          <w:bCs/>
          <w:kern w:val="0"/>
          <w:sz w:val="27"/>
          <w:szCs w:val="27"/>
        </w:rPr>
        <w:t>一、可再循环材料用量计算</w:t>
      </w:r>
    </w:p>
    <w:p w14:paraId="48090987" w14:textId="77777777" w:rsidR="00271C96" w:rsidRPr="00271C96" w:rsidRDefault="00271C96" w:rsidP="00271C9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1. </w:t>
      </w:r>
      <w:r w:rsidRPr="00271C96">
        <w:rPr>
          <w:rFonts w:ascii="Segoe UI" w:eastAsia="宋体" w:hAnsi="Segoe UI" w:cs="Segoe UI"/>
          <w:b/>
          <w:bCs/>
          <w:kern w:val="0"/>
          <w:sz w:val="24"/>
          <w:szCs w:val="24"/>
        </w:rPr>
        <w:t>材料识别与范围</w:t>
      </w:r>
    </w:p>
    <w:p w14:paraId="1DBF4BA6" w14:textId="77777777" w:rsidR="00271C96" w:rsidRPr="00271C96" w:rsidRDefault="00271C96" w:rsidP="00271C9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根据《绿色建筑评价标准》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GB/T 50378-2019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，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可再循环材料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包括：</w:t>
      </w:r>
    </w:p>
    <w:p w14:paraId="4EC5DD58" w14:textId="77777777" w:rsidR="00271C96" w:rsidRPr="00271C96" w:rsidRDefault="00271C96" w:rsidP="00271C96">
      <w:pPr>
        <w:widowControl/>
        <w:numPr>
          <w:ilvl w:val="0"/>
          <w:numId w:val="2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金属（钢材、铝材）</w:t>
      </w:r>
    </w:p>
    <w:p w14:paraId="17C96219" w14:textId="77777777" w:rsidR="00271C96" w:rsidRPr="00271C96" w:rsidRDefault="00271C96" w:rsidP="00271C96">
      <w:pPr>
        <w:widowControl/>
        <w:numPr>
          <w:ilvl w:val="0"/>
          <w:numId w:val="2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玻璃</w:t>
      </w:r>
    </w:p>
    <w:p w14:paraId="23C5067E" w14:textId="77777777" w:rsidR="00271C96" w:rsidRPr="00271C96" w:rsidRDefault="00271C96" w:rsidP="00271C96">
      <w:pPr>
        <w:widowControl/>
        <w:numPr>
          <w:ilvl w:val="0"/>
          <w:numId w:val="2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石膏制品</w:t>
      </w:r>
    </w:p>
    <w:p w14:paraId="5896C618" w14:textId="77777777" w:rsidR="00271C96" w:rsidRPr="00271C96" w:rsidRDefault="00271C96" w:rsidP="00271C96">
      <w:pPr>
        <w:widowControl/>
        <w:numPr>
          <w:ilvl w:val="0"/>
          <w:numId w:val="2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木材</w:t>
      </w:r>
    </w:p>
    <w:p w14:paraId="2B3A7B02" w14:textId="77777777" w:rsidR="00271C96" w:rsidRPr="00271C96" w:rsidRDefault="00271C96" w:rsidP="00271C96">
      <w:pPr>
        <w:widowControl/>
        <w:numPr>
          <w:ilvl w:val="0"/>
          <w:numId w:val="2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塑料（部分）</w:t>
      </w:r>
    </w:p>
    <w:p w14:paraId="7D8DD1F7" w14:textId="77777777" w:rsidR="00271C96" w:rsidRPr="00271C96" w:rsidRDefault="00271C96" w:rsidP="00271C9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可再利用材料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需明确为旧建筑回收材料，本项目为新建建筑，暂未提及旧材利用，故以可再循环材料为主。</w:t>
      </w:r>
    </w:p>
    <w:p w14:paraId="44BCF38E" w14:textId="77777777" w:rsidR="00271C96" w:rsidRPr="00271C96" w:rsidRDefault="00271C96" w:rsidP="00271C9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宋体" w:eastAsia="宋体" w:hAnsi="宋体" w:cs="宋体"/>
          <w:kern w:val="0"/>
          <w:sz w:val="24"/>
          <w:szCs w:val="24"/>
        </w:rPr>
        <w:pict w14:anchorId="373055B9">
          <v:rect id="_x0000_i1027" style="width:0;height:1.5pt" o:hralign="center" o:hrstd="t" o:hr="t" fillcolor="#a0a0a0" stroked="f"/>
        </w:pict>
      </w:r>
    </w:p>
    <w:p w14:paraId="1FD86E1F" w14:textId="77777777" w:rsidR="00271C96" w:rsidRPr="00271C96" w:rsidRDefault="00271C96" w:rsidP="00271C9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2. </w:t>
      </w:r>
      <w:r w:rsidRPr="00271C96">
        <w:rPr>
          <w:rFonts w:ascii="Segoe UI" w:eastAsia="宋体" w:hAnsi="Segoe UI" w:cs="Segoe UI"/>
          <w:b/>
          <w:bCs/>
          <w:kern w:val="0"/>
          <w:sz w:val="24"/>
          <w:szCs w:val="24"/>
        </w:rPr>
        <w:t>材料用量估算</w:t>
      </w:r>
    </w:p>
    <w:p w14:paraId="4D056571" w14:textId="77777777" w:rsidR="00271C96" w:rsidRPr="00271C96" w:rsidRDefault="00271C96" w:rsidP="00271C9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）钢材</w:t>
      </w:r>
    </w:p>
    <w:p w14:paraId="63117325" w14:textId="77777777" w:rsidR="00271C96" w:rsidRPr="00271C96" w:rsidRDefault="00271C96" w:rsidP="00271C96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结构钢筋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：假设钢筋混凝土体积占比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20%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（建筑体积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3954.01m³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），钢筋含量按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1%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估算：</w:t>
      </w:r>
      <w:r w:rsidRPr="00271C96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3954.01×0.2×1%×7850kg/m³=62,100kg</w:t>
      </w:r>
    </w:p>
    <w:p w14:paraId="2F7B3D24" w14:textId="77777777" w:rsidR="00271C96" w:rsidRPr="00271C96" w:rsidRDefault="00271C96" w:rsidP="00271C96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金属龙骨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：花岗岩热桥节点中提及金属龙骨，用量较小，暂按总建材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0.5%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估算：</w:t>
      </w:r>
      <w:r w:rsidRPr="00271C96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62,100kg×0.5%=310kg</w:t>
      </w:r>
    </w:p>
    <w:p w14:paraId="25E55ABB" w14:textId="77777777" w:rsidR="00271C96" w:rsidRPr="00271C96" w:rsidRDefault="00271C96" w:rsidP="00271C9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钢材总量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：约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62,410 kg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6AD68ACD" w14:textId="77777777" w:rsidR="00271C96" w:rsidRPr="00271C96" w:rsidRDefault="00271C96" w:rsidP="00271C9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）木材</w:t>
      </w:r>
    </w:p>
    <w:p w14:paraId="4397D6A1" w14:textId="77777777" w:rsidR="00271C96" w:rsidRPr="00271C96" w:rsidRDefault="00271C96" w:rsidP="00271C96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外窗木框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：外窗面积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271.56m²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，木材密度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500kg/m³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，窗框体积占比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10%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271C96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271.56×0.1×500=13,578kg</w:t>
      </w:r>
    </w:p>
    <w:p w14:paraId="3311B794" w14:textId="77777777" w:rsidR="00271C96" w:rsidRPr="00271C96" w:rsidRDefault="00271C96" w:rsidP="00271C96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楼板木结构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：实木地板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松木用量约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11,109 kg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（见节能报告楼板构造）。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br/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木材总量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：约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24,687 kg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49BC817B" w14:textId="77777777" w:rsidR="00271C96" w:rsidRPr="00271C96" w:rsidRDefault="00271C96" w:rsidP="00271C9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3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）玻璃</w:t>
      </w:r>
    </w:p>
    <w:p w14:paraId="5FC027EB" w14:textId="77777777" w:rsidR="00271C96" w:rsidRPr="00271C96" w:rsidRDefault="00271C96" w:rsidP="00271C96">
      <w:pPr>
        <w:widowControl/>
        <w:numPr>
          <w:ilvl w:val="0"/>
          <w:numId w:val="5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外窗玻璃面积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271.56m²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，厚度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20mm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，密度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2500kg/m³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271C96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271.56×0.02×2500=13,578kg</w:t>
      </w:r>
    </w:p>
    <w:p w14:paraId="69C85336" w14:textId="77777777" w:rsidR="00271C96" w:rsidRPr="00271C96" w:rsidRDefault="00271C96" w:rsidP="00271C9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4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）石膏板</w:t>
      </w:r>
    </w:p>
    <w:p w14:paraId="452D2D96" w14:textId="77777777" w:rsidR="00271C96" w:rsidRPr="00271C96" w:rsidRDefault="00271C96" w:rsidP="00271C96">
      <w:pPr>
        <w:widowControl/>
        <w:numPr>
          <w:ilvl w:val="0"/>
          <w:numId w:val="6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外墙内保温石膏板用量：</w:t>
      </w:r>
      <w:r w:rsidRPr="00271C96">
        <w:rPr>
          <w:rFonts w:ascii="Times New Roman" w:eastAsia="宋体" w:hAnsi="Times New Roman" w:cs="Times New Roman"/>
          <w:kern w:val="0"/>
          <w:sz w:val="29"/>
          <w:szCs w:val="29"/>
          <w:bdr w:val="none" w:sz="0" w:space="0" w:color="auto" w:frame="1"/>
        </w:rPr>
        <w:t>1439.15m²×0.012m×1050kg/m³=18,145kg</w:t>
      </w:r>
    </w:p>
    <w:p w14:paraId="713AADB4" w14:textId="77777777" w:rsidR="00271C96" w:rsidRPr="00271C96" w:rsidRDefault="00271C96" w:rsidP="00271C9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宋体" w:eastAsia="宋体" w:hAnsi="宋体" w:cs="宋体"/>
          <w:kern w:val="0"/>
          <w:sz w:val="24"/>
          <w:szCs w:val="24"/>
        </w:rPr>
        <w:pict w14:anchorId="545571CC">
          <v:rect id="_x0000_i1028" style="width:0;height:1.5pt" o:hralign="center" o:hrstd="t" o:hr="t" fillcolor="#a0a0a0" stroked="f"/>
        </w:pict>
      </w:r>
    </w:p>
    <w:p w14:paraId="7326C6E7" w14:textId="77777777" w:rsidR="00271C96" w:rsidRPr="00271C96" w:rsidRDefault="00271C96" w:rsidP="00271C9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3. </w:t>
      </w:r>
      <w:r w:rsidRPr="00271C96">
        <w:rPr>
          <w:rFonts w:ascii="Segoe UI" w:eastAsia="宋体" w:hAnsi="Segoe UI" w:cs="Segoe UI"/>
          <w:b/>
          <w:bCs/>
          <w:kern w:val="0"/>
          <w:sz w:val="24"/>
          <w:szCs w:val="24"/>
        </w:rPr>
        <w:t>总可再循环材料用量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557"/>
        <w:gridCol w:w="1745"/>
      </w:tblGrid>
      <w:tr w:rsidR="00271C96" w:rsidRPr="00271C96" w14:paraId="0850E153" w14:textId="77777777" w:rsidTr="00271C9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A97724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D4C7738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重量（</w:t>
            </w: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kg</w:t>
            </w: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98682B4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占比（示例）</w:t>
            </w:r>
          </w:p>
        </w:tc>
      </w:tr>
      <w:tr w:rsidR="00271C96" w:rsidRPr="00271C96" w14:paraId="2785DAA3" w14:textId="77777777" w:rsidTr="00271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E0EDE4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钢材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D131B45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62,410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09FEEE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2.2%</w:t>
            </w:r>
          </w:p>
        </w:tc>
      </w:tr>
      <w:tr w:rsidR="00271C96" w:rsidRPr="00271C96" w14:paraId="09572949" w14:textId="77777777" w:rsidTr="00271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5216187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lastRenderedPageBreak/>
              <w:t>木材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CA7485D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24,687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900D33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0.87%</w:t>
            </w:r>
          </w:p>
        </w:tc>
      </w:tr>
      <w:tr w:rsidR="00271C96" w:rsidRPr="00271C96" w14:paraId="64740AF0" w14:textId="77777777" w:rsidTr="00271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D77B22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玻璃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9BA83C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13,578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91DA64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0.48%</w:t>
            </w:r>
          </w:p>
        </w:tc>
      </w:tr>
      <w:tr w:rsidR="00271C96" w:rsidRPr="00271C96" w14:paraId="6A776774" w14:textId="77777777" w:rsidTr="00271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D48682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石膏板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E390397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18,145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4B93F2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0.64%</w:t>
            </w:r>
          </w:p>
        </w:tc>
      </w:tr>
      <w:tr w:rsidR="00271C96" w:rsidRPr="00271C96" w14:paraId="13487CFE" w14:textId="77777777" w:rsidTr="00271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1C8C45B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E218A2A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118,820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BE1C17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4.19%</w:t>
            </w:r>
          </w:p>
        </w:tc>
      </w:tr>
    </w:tbl>
    <w:p w14:paraId="5EEFDF8F" w14:textId="77777777" w:rsidR="00271C96" w:rsidRPr="00271C96" w:rsidRDefault="00271C96" w:rsidP="00271C9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结论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：可再循环材料占比约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4.19%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，未达到公共建筑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10%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要求，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不得分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33604F23" w14:textId="77777777" w:rsidR="00271C96" w:rsidRPr="00271C96" w:rsidRDefault="00271C96" w:rsidP="00271C9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宋体" w:eastAsia="宋体" w:hAnsi="宋体" w:cs="宋体"/>
          <w:kern w:val="0"/>
          <w:sz w:val="24"/>
          <w:szCs w:val="24"/>
        </w:rPr>
        <w:pict w14:anchorId="6CFB85E9">
          <v:rect id="_x0000_i1029" style="width:0;height:1.5pt" o:hralign="center" o:hrstd="t" o:hr="t" fillcolor="#a0a0a0" stroked="f"/>
        </w:pict>
      </w:r>
    </w:p>
    <w:p w14:paraId="10C8B18F" w14:textId="77777777" w:rsidR="00271C96" w:rsidRPr="00271C96" w:rsidRDefault="00271C96" w:rsidP="00271C9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71C96">
        <w:rPr>
          <w:rFonts w:ascii="Segoe UI" w:eastAsia="宋体" w:hAnsi="Segoe UI" w:cs="Segoe UI"/>
          <w:b/>
          <w:bCs/>
          <w:kern w:val="0"/>
          <w:sz w:val="27"/>
          <w:szCs w:val="27"/>
        </w:rPr>
        <w:t>二、利废建材用量计算</w:t>
      </w:r>
    </w:p>
    <w:p w14:paraId="7E506521" w14:textId="77777777" w:rsidR="00271C96" w:rsidRPr="00271C96" w:rsidRDefault="00271C96" w:rsidP="00271C9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1. </w:t>
      </w:r>
      <w:r w:rsidRPr="00271C96">
        <w:rPr>
          <w:rFonts w:ascii="Segoe UI" w:eastAsia="宋体" w:hAnsi="Segoe UI" w:cs="Segoe UI"/>
          <w:b/>
          <w:bCs/>
          <w:kern w:val="0"/>
          <w:sz w:val="24"/>
          <w:szCs w:val="24"/>
        </w:rPr>
        <w:t>利废建材识别</w:t>
      </w:r>
    </w:p>
    <w:p w14:paraId="6D44AD4E" w14:textId="77777777" w:rsidR="00271C96" w:rsidRPr="00271C96" w:rsidRDefault="00271C96" w:rsidP="00271C96">
      <w:pPr>
        <w:widowControl/>
        <w:numPr>
          <w:ilvl w:val="0"/>
          <w:numId w:val="7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烧结多孔砖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：若采用粉煤灰或矿渣制成，属利废建材（假设占同类墙体材料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50%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以上）。</w:t>
      </w:r>
    </w:p>
    <w:p w14:paraId="7EB96F29" w14:textId="77777777" w:rsidR="00271C96" w:rsidRPr="00271C96" w:rsidRDefault="00271C96" w:rsidP="00271C96">
      <w:pPr>
        <w:widowControl/>
        <w:numPr>
          <w:ilvl w:val="0"/>
          <w:numId w:val="7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聚合物水泥砂浆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：若掺入粉煤灰，属利废建材（假设占砂浆类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30%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以上）。</w:t>
      </w:r>
    </w:p>
    <w:p w14:paraId="2AEA7267" w14:textId="77777777" w:rsidR="00271C96" w:rsidRPr="00271C96" w:rsidRDefault="00271C96" w:rsidP="00271C96">
      <w:pPr>
        <w:widowControl/>
        <w:numPr>
          <w:ilvl w:val="0"/>
          <w:numId w:val="7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岩棉板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/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玻璃棉板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：以矿渣或回收玻璃为原料，属利废建材（假设占保温材料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30%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以上）。</w:t>
      </w:r>
    </w:p>
    <w:p w14:paraId="7F33B2A7" w14:textId="77777777" w:rsidR="00271C96" w:rsidRPr="00271C96" w:rsidRDefault="00271C96" w:rsidP="00271C9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宋体" w:eastAsia="宋体" w:hAnsi="宋体" w:cs="宋体"/>
          <w:kern w:val="0"/>
          <w:sz w:val="24"/>
          <w:szCs w:val="24"/>
        </w:rPr>
        <w:pict w14:anchorId="084D1D94">
          <v:rect id="_x0000_i1030" style="width:0;height:1.5pt" o:hralign="center" o:hrstd="t" o:hr="t" fillcolor="#a0a0a0" stroked="f"/>
        </w:pict>
      </w:r>
    </w:p>
    <w:p w14:paraId="7D59BDAE" w14:textId="77777777" w:rsidR="00271C96" w:rsidRPr="00271C96" w:rsidRDefault="00271C96" w:rsidP="00271C9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b/>
          <w:bCs/>
          <w:kern w:val="0"/>
          <w:sz w:val="24"/>
          <w:szCs w:val="24"/>
        </w:rPr>
        <w:t xml:space="preserve">2. </w:t>
      </w:r>
      <w:r w:rsidRPr="00271C96">
        <w:rPr>
          <w:rFonts w:ascii="Segoe UI" w:eastAsia="宋体" w:hAnsi="Segoe UI" w:cs="Segoe UI"/>
          <w:b/>
          <w:bCs/>
          <w:kern w:val="0"/>
          <w:sz w:val="24"/>
          <w:szCs w:val="24"/>
        </w:rPr>
        <w:t>用量比例估算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745"/>
        <w:gridCol w:w="2589"/>
        <w:gridCol w:w="1924"/>
      </w:tblGrid>
      <w:tr w:rsidR="00271C96" w:rsidRPr="00271C96" w14:paraId="79007127" w14:textId="77777777" w:rsidTr="00271C9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6CEB6B7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利废建材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3448A15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同类材料总量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722E5C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利废用量占比（假设）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693418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达标情况</w:t>
            </w:r>
          </w:p>
        </w:tc>
      </w:tr>
      <w:tr w:rsidR="00271C96" w:rsidRPr="00271C96" w14:paraId="2F8A3362" w14:textId="77777777" w:rsidTr="00271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01EFB6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烧结多孔砖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55ED69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473,480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81BC40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≥50%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1F9454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Segoe UI Emoji" w:eastAsia="宋体" w:hAnsi="Segoe UI Emoji" w:cs="Segoe UI Emoji"/>
                <w:kern w:val="0"/>
                <w:szCs w:val="21"/>
              </w:rPr>
              <w:t>✔️</w:t>
            </w:r>
            <w:r w:rsidRPr="00271C96">
              <w:rPr>
                <w:rFonts w:ascii="inherit" w:eastAsia="宋体" w:hAnsi="inherit" w:cs="宋体"/>
                <w:kern w:val="0"/>
                <w:szCs w:val="21"/>
              </w:rPr>
              <w:t xml:space="preserve"> </w:t>
            </w:r>
            <w:r w:rsidRPr="00271C96">
              <w:rPr>
                <w:rFonts w:ascii="inherit" w:eastAsia="宋体" w:hAnsi="inherit" w:cs="宋体"/>
                <w:kern w:val="0"/>
                <w:szCs w:val="21"/>
              </w:rPr>
              <w:t>单项达标</w:t>
            </w:r>
          </w:p>
        </w:tc>
      </w:tr>
      <w:tr w:rsidR="00271C96" w:rsidRPr="00271C96" w14:paraId="626CBB69" w14:textId="77777777" w:rsidTr="00271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3E1FA69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聚合物水泥砂浆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5076BE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砂浆类总量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CE846BD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≥30%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5EEBA44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Segoe UI Emoji" w:eastAsia="宋体" w:hAnsi="Segoe UI Emoji" w:cs="Segoe UI Emoji"/>
                <w:kern w:val="0"/>
                <w:szCs w:val="21"/>
              </w:rPr>
              <w:t>✔️</w:t>
            </w:r>
            <w:r w:rsidRPr="00271C96">
              <w:rPr>
                <w:rFonts w:ascii="inherit" w:eastAsia="宋体" w:hAnsi="inherit" w:cs="宋体"/>
                <w:kern w:val="0"/>
                <w:szCs w:val="21"/>
              </w:rPr>
              <w:t xml:space="preserve"> </w:t>
            </w:r>
            <w:r w:rsidRPr="00271C96">
              <w:rPr>
                <w:rFonts w:ascii="inherit" w:eastAsia="宋体" w:hAnsi="inherit" w:cs="宋体"/>
                <w:kern w:val="0"/>
                <w:szCs w:val="21"/>
              </w:rPr>
              <w:t>两项及以上</w:t>
            </w:r>
          </w:p>
        </w:tc>
      </w:tr>
      <w:tr w:rsidR="00271C96" w:rsidRPr="00271C96" w14:paraId="7DB561AD" w14:textId="77777777" w:rsidTr="00271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05E9CF7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岩棉板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B85FD6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保温材料总量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4415FBF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≥30%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0303CB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Segoe UI Emoji" w:eastAsia="宋体" w:hAnsi="Segoe UI Emoji" w:cs="Segoe UI Emoji"/>
                <w:kern w:val="0"/>
                <w:szCs w:val="21"/>
              </w:rPr>
              <w:t>✔️</w:t>
            </w:r>
            <w:r w:rsidRPr="00271C96">
              <w:rPr>
                <w:rFonts w:ascii="inherit" w:eastAsia="宋体" w:hAnsi="inherit" w:cs="宋体"/>
                <w:kern w:val="0"/>
                <w:szCs w:val="21"/>
              </w:rPr>
              <w:t xml:space="preserve"> </w:t>
            </w:r>
            <w:r w:rsidRPr="00271C96">
              <w:rPr>
                <w:rFonts w:ascii="inherit" w:eastAsia="宋体" w:hAnsi="inherit" w:cs="宋体"/>
                <w:kern w:val="0"/>
                <w:szCs w:val="21"/>
              </w:rPr>
              <w:t>两项及以上</w:t>
            </w:r>
          </w:p>
        </w:tc>
      </w:tr>
    </w:tbl>
    <w:p w14:paraId="32712F5F" w14:textId="77777777" w:rsidR="00271C96" w:rsidRPr="00271C96" w:rsidRDefault="00271C96" w:rsidP="00271C9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结论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：选用两种及以上利废建材，且每种占同类材料比例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≥30%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，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得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6</w:t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3B331D5D" w14:textId="77777777" w:rsidR="00271C96" w:rsidRPr="00271C96" w:rsidRDefault="00271C96" w:rsidP="00271C9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宋体" w:eastAsia="宋体" w:hAnsi="宋体" w:cs="宋体"/>
          <w:kern w:val="0"/>
          <w:sz w:val="24"/>
          <w:szCs w:val="24"/>
        </w:rPr>
        <w:pict w14:anchorId="117479D4">
          <v:rect id="_x0000_i1031" style="width:0;height:1.5pt" o:hralign="center" o:hrstd="t" o:hr="t" fillcolor="#a0a0a0" stroked="f"/>
        </w:pict>
      </w:r>
    </w:p>
    <w:p w14:paraId="32FA480F" w14:textId="77777777" w:rsidR="00271C96" w:rsidRPr="00271C96" w:rsidRDefault="00271C96" w:rsidP="00271C9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71C96">
        <w:rPr>
          <w:rFonts w:ascii="Segoe UI" w:eastAsia="宋体" w:hAnsi="Segoe UI" w:cs="Segoe UI"/>
          <w:b/>
          <w:bCs/>
          <w:kern w:val="0"/>
          <w:sz w:val="27"/>
          <w:szCs w:val="27"/>
        </w:rPr>
        <w:t>三、总得分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902"/>
      </w:tblGrid>
      <w:tr w:rsidR="00271C96" w:rsidRPr="00271C96" w14:paraId="2E75AC23" w14:textId="77777777" w:rsidTr="00271C9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AB4808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评分项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F739EB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得分</w:t>
            </w:r>
          </w:p>
        </w:tc>
      </w:tr>
      <w:tr w:rsidR="00271C96" w:rsidRPr="00271C96" w14:paraId="2C19442B" w14:textId="77777777" w:rsidTr="00271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359844B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可再循环材料（未达</w:t>
            </w:r>
            <w:r w:rsidRPr="00271C96">
              <w:rPr>
                <w:rFonts w:ascii="inherit" w:eastAsia="宋体" w:hAnsi="inherit" w:cs="宋体"/>
                <w:kern w:val="0"/>
                <w:szCs w:val="21"/>
              </w:rPr>
              <w:t>10%</w:t>
            </w:r>
            <w:r w:rsidRPr="00271C96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351952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0</w:t>
            </w:r>
          </w:p>
        </w:tc>
      </w:tr>
      <w:tr w:rsidR="00271C96" w:rsidRPr="00271C96" w14:paraId="1B845DF9" w14:textId="77777777" w:rsidTr="00271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58F63E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利废建材（两种及以上，均</w:t>
            </w:r>
            <w:r w:rsidRPr="00271C96">
              <w:rPr>
                <w:rFonts w:ascii="inherit" w:eastAsia="宋体" w:hAnsi="inherit" w:cs="宋体"/>
                <w:kern w:val="0"/>
                <w:szCs w:val="21"/>
              </w:rPr>
              <w:t>≥30%</w:t>
            </w:r>
            <w:r w:rsidRPr="00271C96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EB9372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6</w:t>
            </w:r>
          </w:p>
        </w:tc>
      </w:tr>
      <w:tr w:rsidR="00271C96" w:rsidRPr="00271C96" w14:paraId="3A6CF7C1" w14:textId="77777777" w:rsidTr="00271C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15DFF7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23DDDA6" w14:textId="77777777" w:rsidR="00271C96" w:rsidRPr="00271C96" w:rsidRDefault="00271C96" w:rsidP="00271C9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71C96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71C96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6</w:t>
            </w:r>
          </w:p>
        </w:tc>
      </w:tr>
    </w:tbl>
    <w:p w14:paraId="016987C6" w14:textId="77777777" w:rsidR="00271C96" w:rsidRPr="00271C96" w:rsidRDefault="00271C96" w:rsidP="00271C9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宋体" w:eastAsia="宋体" w:hAnsi="宋体" w:cs="宋体"/>
          <w:kern w:val="0"/>
          <w:sz w:val="24"/>
          <w:szCs w:val="24"/>
        </w:rPr>
        <w:pict w14:anchorId="3C72834C">
          <v:rect id="_x0000_i1032" style="width:0;height:1.5pt" o:hralign="center" o:hrstd="t" o:hr="t" fillcolor="#a0a0a0" stroked="f"/>
        </w:pict>
      </w:r>
    </w:p>
    <w:p w14:paraId="488A768B" w14:textId="77777777" w:rsidR="00271C96" w:rsidRPr="00271C96" w:rsidRDefault="00271C96" w:rsidP="00271C9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71C96">
        <w:rPr>
          <w:rFonts w:ascii="Segoe UI" w:eastAsia="宋体" w:hAnsi="Segoe UI" w:cs="Segoe UI"/>
          <w:b/>
          <w:bCs/>
          <w:kern w:val="0"/>
          <w:sz w:val="27"/>
          <w:szCs w:val="27"/>
        </w:rPr>
        <w:t>说明</w:t>
      </w:r>
    </w:p>
    <w:p w14:paraId="02F29482" w14:textId="77777777" w:rsidR="00271C96" w:rsidRPr="00271C96" w:rsidRDefault="00271C96" w:rsidP="00271C96">
      <w:pPr>
        <w:widowControl/>
        <w:numPr>
          <w:ilvl w:val="0"/>
          <w:numId w:val="8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本计算基于节能报告提供材料类型及构造做法，部分数据需结合行业常规假设。</w:t>
      </w:r>
    </w:p>
    <w:p w14:paraId="2F37EE48" w14:textId="77777777" w:rsidR="00271C96" w:rsidRPr="00271C96" w:rsidRDefault="00271C96" w:rsidP="00271C96">
      <w:pPr>
        <w:widowControl/>
        <w:numPr>
          <w:ilvl w:val="0"/>
          <w:numId w:val="8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实际得分需以材料检测报告及用量清单为准，建议补充以下数据：</w:t>
      </w:r>
    </w:p>
    <w:p w14:paraId="0FBD1CB3" w14:textId="77777777" w:rsidR="00271C96" w:rsidRPr="00271C96" w:rsidRDefault="00271C96" w:rsidP="00271C96">
      <w:pPr>
        <w:widowControl/>
        <w:numPr>
          <w:ilvl w:val="1"/>
          <w:numId w:val="8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烧结砖、砂浆、保温材料的利废成分证明；</w:t>
      </w:r>
    </w:p>
    <w:p w14:paraId="6502AFA7" w14:textId="77777777" w:rsidR="00271C96" w:rsidRPr="00271C96" w:rsidRDefault="00271C96" w:rsidP="00271C96">
      <w:pPr>
        <w:widowControl/>
        <w:numPr>
          <w:ilvl w:val="1"/>
          <w:numId w:val="8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Segoe UI" w:eastAsia="宋体" w:hAnsi="Segoe UI" w:cs="Segoe UI"/>
          <w:kern w:val="0"/>
          <w:sz w:val="24"/>
          <w:szCs w:val="24"/>
        </w:rPr>
        <w:t>钢材、木材、玻璃的具体采购量。</w:t>
      </w:r>
    </w:p>
    <w:p w14:paraId="33199573" w14:textId="77777777" w:rsidR="00271C96" w:rsidRPr="00271C96" w:rsidRDefault="00271C96" w:rsidP="00271C9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宋体" w:eastAsia="宋体" w:hAnsi="宋体" w:cs="宋体"/>
          <w:kern w:val="0"/>
          <w:sz w:val="24"/>
          <w:szCs w:val="24"/>
        </w:rPr>
        <w:pict w14:anchorId="1023C6D1">
          <v:rect id="_x0000_i1033" style="width:0;height:1.5pt" o:hralign="center" o:hrstd="t" o:hr="t" fillcolor="#a0a0a0" stroked="f"/>
        </w:pict>
      </w:r>
    </w:p>
    <w:p w14:paraId="77873950" w14:textId="65EEAC06" w:rsidR="00271C96" w:rsidRPr="00271C96" w:rsidRDefault="00271C96" w:rsidP="00271C96">
      <w:pPr>
        <w:widowControl/>
        <w:shd w:val="clear" w:color="auto" w:fill="FCFCFC"/>
        <w:spacing w:before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编制单位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安居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设计院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br/>
      </w:r>
      <w:r w:rsidRPr="00271C9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年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12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月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25</w:t>
      </w:r>
      <w:r w:rsidRPr="00271C96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0C098704" w14:textId="77777777" w:rsidR="00A62871" w:rsidRPr="00271C96" w:rsidRDefault="00A62871">
      <w:pPr>
        <w:rPr>
          <w:rFonts w:hint="eastAsia"/>
        </w:rPr>
      </w:pPr>
    </w:p>
    <w:sectPr w:rsidR="00A62871" w:rsidRPr="0027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1CE"/>
    <w:multiLevelType w:val="multilevel"/>
    <w:tmpl w:val="4A6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BB4D01"/>
    <w:multiLevelType w:val="multilevel"/>
    <w:tmpl w:val="A96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A2F20"/>
    <w:multiLevelType w:val="multilevel"/>
    <w:tmpl w:val="25B2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8B6525"/>
    <w:multiLevelType w:val="multilevel"/>
    <w:tmpl w:val="F480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C50CD7"/>
    <w:multiLevelType w:val="multilevel"/>
    <w:tmpl w:val="9C6A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E44E5D"/>
    <w:multiLevelType w:val="multilevel"/>
    <w:tmpl w:val="09B6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541EC2"/>
    <w:multiLevelType w:val="multilevel"/>
    <w:tmpl w:val="6D62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DB104B"/>
    <w:multiLevelType w:val="multilevel"/>
    <w:tmpl w:val="83E2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3609893">
    <w:abstractNumId w:val="5"/>
  </w:num>
  <w:num w:numId="2" w16cid:durableId="1537040905">
    <w:abstractNumId w:val="0"/>
  </w:num>
  <w:num w:numId="3" w16cid:durableId="314188348">
    <w:abstractNumId w:val="4"/>
  </w:num>
  <w:num w:numId="4" w16cid:durableId="1539464819">
    <w:abstractNumId w:val="1"/>
  </w:num>
  <w:num w:numId="5" w16cid:durableId="10840427">
    <w:abstractNumId w:val="2"/>
  </w:num>
  <w:num w:numId="6" w16cid:durableId="671833276">
    <w:abstractNumId w:val="7"/>
  </w:num>
  <w:num w:numId="7" w16cid:durableId="1827823473">
    <w:abstractNumId w:val="6"/>
  </w:num>
  <w:num w:numId="8" w16cid:durableId="751858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D9"/>
    <w:rsid w:val="000628C8"/>
    <w:rsid w:val="00271C96"/>
    <w:rsid w:val="00292AF2"/>
    <w:rsid w:val="004317F1"/>
    <w:rsid w:val="007C52D7"/>
    <w:rsid w:val="007F066D"/>
    <w:rsid w:val="00836368"/>
    <w:rsid w:val="008A7170"/>
    <w:rsid w:val="008C1FD9"/>
    <w:rsid w:val="00A62871"/>
    <w:rsid w:val="00DF1447"/>
    <w:rsid w:val="00EF45D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9854C"/>
  <w15:chartTrackingRefBased/>
  <w15:docId w15:val="{92D64A51-9991-4C29-AFF3-3A97D982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1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FD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FD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FD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FD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FD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FD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F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FD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FD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C1FD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F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F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F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F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1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2025-03-15T09:27:00Z</dcterms:created>
  <dcterms:modified xsi:type="dcterms:W3CDTF">2025-03-15T09:31:00Z</dcterms:modified>
</cp:coreProperties>
</file>