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9427" w14:textId="77777777" w:rsidR="0025786B" w:rsidRPr="0025786B" w:rsidRDefault="0025786B" w:rsidP="0025786B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可再生能源利用专项竣工文件及竣工验收记录</w:t>
      </w:r>
    </w:p>
    <w:p w14:paraId="1D097962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pict w14:anchorId="77286EDA">
          <v:rect id="_x0000_i1025" style="width:0;height:1.5pt" o:hralign="center" o:hrstd="t" o:hr="t" fillcolor="#a0a0a0" stroked="f"/>
        </w:pict>
      </w:r>
    </w:p>
    <w:p w14:paraId="0F825695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5786B">
        <w:rPr>
          <w:rFonts w:ascii="Segoe UI" w:eastAsia="宋体" w:hAnsi="Segoe UI" w:cs="Segoe UI"/>
          <w:b/>
          <w:bCs/>
          <w:kern w:val="0"/>
          <w:sz w:val="27"/>
          <w:szCs w:val="27"/>
        </w:rPr>
        <w:t>一、项目概况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4470"/>
      </w:tblGrid>
      <w:tr w:rsidR="0025786B" w:rsidRPr="0025786B" w14:paraId="3F0E4FF0" w14:textId="77777777" w:rsidTr="0025786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404B87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9E32C4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古韵新生</w:t>
            </w: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——</w:t>
            </w: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张爱玲故居低碳活化再利用</w:t>
            </w:r>
          </w:p>
        </w:tc>
      </w:tr>
      <w:tr w:rsidR="0025786B" w:rsidRPr="0025786B" w14:paraId="2BE2DF1C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1D6FA6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工程地点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50F564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浙江省绍兴市</w:t>
            </w:r>
          </w:p>
        </w:tc>
      </w:tr>
      <w:tr w:rsidR="0025786B" w:rsidRPr="0025786B" w14:paraId="23BF3CEF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961096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建筑面积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07150C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地上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966m²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（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层）</w:t>
            </w:r>
          </w:p>
        </w:tc>
      </w:tr>
      <w:tr w:rsidR="0025786B" w:rsidRPr="0025786B" w14:paraId="47BB8BD1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A9172EA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气候分区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F26FE6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夏热冬冷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A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区</w:t>
            </w:r>
          </w:p>
        </w:tc>
      </w:tr>
      <w:tr w:rsidR="0025786B" w:rsidRPr="0025786B" w14:paraId="56BE9711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0EFB2C9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可再生能源系统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AA850A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太阳能光伏发电系统、空气源热泵热水系统</w:t>
            </w:r>
          </w:p>
        </w:tc>
      </w:tr>
    </w:tbl>
    <w:p w14:paraId="68B6429E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pict w14:anchorId="65319362">
          <v:rect id="_x0000_i1026" style="width:0;height:1.5pt" o:hralign="center" o:hrstd="t" o:hr="t" fillcolor="#a0a0a0" stroked="f"/>
        </w:pict>
      </w:r>
    </w:p>
    <w:p w14:paraId="3326A761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5786B">
        <w:rPr>
          <w:rFonts w:ascii="Segoe UI" w:eastAsia="宋体" w:hAnsi="Segoe UI" w:cs="Segoe UI"/>
          <w:b/>
          <w:bCs/>
          <w:kern w:val="0"/>
          <w:sz w:val="27"/>
          <w:szCs w:val="27"/>
        </w:rPr>
        <w:t>二、设计依据</w:t>
      </w:r>
    </w:p>
    <w:p w14:paraId="6CEFF101" w14:textId="77777777" w:rsidR="0025786B" w:rsidRPr="0025786B" w:rsidRDefault="0025786B" w:rsidP="0025786B">
      <w:pPr>
        <w:widowControl/>
        <w:numPr>
          <w:ilvl w:val="0"/>
          <w:numId w:val="1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7.2.9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条</w:t>
      </w:r>
    </w:p>
    <w:p w14:paraId="4BFD991E" w14:textId="77777777" w:rsidR="0025786B" w:rsidRPr="0025786B" w:rsidRDefault="0025786B" w:rsidP="0025786B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《民用建筑太阳能热水系统应用技术标准》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GB 50364</w:t>
      </w:r>
    </w:p>
    <w:p w14:paraId="5AE7E126" w14:textId="77777777" w:rsidR="0025786B" w:rsidRPr="0025786B" w:rsidRDefault="0025786B" w:rsidP="0025786B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《光伏发电系统设计规范》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GB 50797</w:t>
      </w:r>
    </w:p>
    <w:p w14:paraId="0CB55310" w14:textId="77777777" w:rsidR="0025786B" w:rsidRPr="0025786B" w:rsidRDefault="0025786B" w:rsidP="0025786B">
      <w:pPr>
        <w:widowControl/>
        <w:numPr>
          <w:ilvl w:val="0"/>
          <w:numId w:val="1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《浙江省公共建筑节能设计标准》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DB33/1036-2021</w:t>
      </w:r>
    </w:p>
    <w:p w14:paraId="234041A4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pict w14:anchorId="39F00FE9">
          <v:rect id="_x0000_i1027" style="width:0;height:1.5pt" o:hralign="center" o:hrstd="t" o:hr="t" fillcolor="#a0a0a0" stroked="f"/>
        </w:pict>
      </w:r>
    </w:p>
    <w:p w14:paraId="7322E639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5786B">
        <w:rPr>
          <w:rFonts w:ascii="Segoe UI" w:eastAsia="宋体" w:hAnsi="Segoe UI" w:cs="Segoe UI"/>
          <w:b/>
          <w:bCs/>
          <w:kern w:val="0"/>
          <w:sz w:val="27"/>
          <w:szCs w:val="27"/>
        </w:rPr>
        <w:t>三、可再生能源系统设计</w:t>
      </w:r>
    </w:p>
    <w:p w14:paraId="1CE71B03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b/>
          <w:bCs/>
          <w:kern w:val="0"/>
          <w:sz w:val="24"/>
          <w:szCs w:val="24"/>
        </w:rPr>
        <w:t>（一）太阳能光伏发电系统</w:t>
      </w:r>
    </w:p>
    <w:p w14:paraId="6903F0C5" w14:textId="77777777" w:rsidR="0025786B" w:rsidRPr="0025786B" w:rsidRDefault="0025786B" w:rsidP="0025786B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安装位置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：坡屋顶（小青瓦表面整合光伏瓦）</w:t>
      </w:r>
    </w:p>
    <w:p w14:paraId="573895A0" w14:textId="77777777" w:rsidR="0025786B" w:rsidRPr="0025786B" w:rsidRDefault="0025786B" w:rsidP="0025786B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装机容量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45kWp</w:t>
      </w:r>
    </w:p>
    <w:p w14:paraId="30D0EFB8" w14:textId="77777777" w:rsidR="0025786B" w:rsidRPr="0025786B" w:rsidRDefault="0025786B" w:rsidP="0025786B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组件类型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：单晶硅光伏瓦（透光率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，与历史风貌协调）</w:t>
      </w:r>
    </w:p>
    <w:p w14:paraId="5A894274" w14:textId="77777777" w:rsidR="0025786B" w:rsidRPr="0025786B" w:rsidRDefault="0025786B" w:rsidP="0025786B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年发电量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br/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Q</w:t>
      </w:r>
      <w:r w:rsidRPr="0025786B">
        <w:rPr>
          <w:rFonts w:ascii="KaTeX_Math" w:eastAsia="宋体" w:hAnsi="KaTeX_Math" w:cs="Times New Roman"/>
          <w:i/>
          <w:iCs/>
          <w:kern w:val="0"/>
          <w:sz w:val="20"/>
          <w:szCs w:val="20"/>
          <w:bdr w:val="none" w:sz="0" w:space="0" w:color="auto" w:frame="1"/>
        </w:rPr>
        <w:t>PV</w:t>
      </w:r>
      <w:r w:rsidRPr="0025786B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25786B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=45</w:t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kW</w:t>
      </w:r>
      <w:r w:rsidRPr="0025786B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×1000</w:t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h</w:t>
      </w:r>
      <w:r w:rsidRPr="0025786B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×0.8=36,000</w:t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kWh</w:t>
      </w:r>
      <w:r w:rsidRPr="0025786B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/</w:t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a</w:t>
      </w:r>
    </w:p>
    <w:p w14:paraId="5EC74976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b/>
          <w:bCs/>
          <w:kern w:val="0"/>
          <w:sz w:val="24"/>
          <w:szCs w:val="24"/>
        </w:rPr>
        <w:t>（二）空气源热泵热水系统</w:t>
      </w:r>
    </w:p>
    <w:p w14:paraId="1E5A0E3C" w14:textId="77777777" w:rsidR="0025786B" w:rsidRPr="0025786B" w:rsidRDefault="0025786B" w:rsidP="0025786B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设备型号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：超低温变频热泵机组（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COP=3.2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7FE0C984" w14:textId="77777777" w:rsidR="0025786B" w:rsidRPr="0025786B" w:rsidRDefault="0025786B" w:rsidP="0025786B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供能范围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：全楼生活热水</w:t>
      </w:r>
    </w:p>
    <w:p w14:paraId="6D9FD638" w14:textId="77777777" w:rsidR="0025786B" w:rsidRPr="0025786B" w:rsidRDefault="0025786B" w:rsidP="0025786B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年节能量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br/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Q</w:t>
      </w:r>
      <w:r w:rsidRPr="0025786B">
        <w:rPr>
          <w:rFonts w:ascii="KaTeX_Math" w:eastAsia="宋体" w:hAnsi="KaTeX_Math" w:cs="Times New Roman"/>
          <w:i/>
          <w:iCs/>
          <w:kern w:val="0"/>
          <w:sz w:val="20"/>
          <w:szCs w:val="20"/>
          <w:bdr w:val="none" w:sz="0" w:space="0" w:color="auto" w:frame="1"/>
        </w:rPr>
        <w:t>HP</w:t>
      </w:r>
      <w:r w:rsidRPr="0025786B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25786B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</w:t>
      </w:r>
      <w:r w:rsidRPr="0025786B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3.28,760</w:t>
      </w:r>
      <w:r w:rsidRPr="0025786B">
        <w:rPr>
          <w:rFonts w:ascii="KaTeX_Math" w:eastAsia="宋体" w:hAnsi="KaTeX_Math" w:cs="Times New Roman"/>
          <w:i/>
          <w:iCs/>
          <w:kern w:val="0"/>
          <w:sz w:val="20"/>
          <w:szCs w:val="20"/>
          <w:bdr w:val="none" w:sz="0" w:space="0" w:color="auto" w:frame="1"/>
        </w:rPr>
        <w:t>h</w:t>
      </w:r>
      <w:r w:rsidRPr="0025786B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×15</w:t>
      </w:r>
      <w:r w:rsidRPr="0025786B">
        <w:rPr>
          <w:rFonts w:ascii="KaTeX_Math" w:eastAsia="宋体" w:hAnsi="KaTeX_Math" w:cs="Times New Roman"/>
          <w:i/>
          <w:iCs/>
          <w:kern w:val="0"/>
          <w:sz w:val="20"/>
          <w:szCs w:val="20"/>
          <w:bdr w:val="none" w:sz="0" w:space="0" w:color="auto" w:frame="1"/>
        </w:rPr>
        <w:t>kW</w:t>
      </w:r>
      <w:r w:rsidRPr="0025786B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25786B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=41,175</w:t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kWh</w:t>
      </w:r>
      <w:r w:rsidRPr="0025786B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/</w:t>
      </w:r>
      <w:r w:rsidRPr="0025786B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a</w:t>
      </w:r>
    </w:p>
    <w:p w14:paraId="27EA198E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pict w14:anchorId="499F3A68">
          <v:rect id="_x0000_i1028" style="width:0;height:1.5pt" o:hralign="center" o:hrstd="t" o:hr="t" fillcolor="#a0a0a0" stroked="f"/>
        </w:pict>
      </w:r>
    </w:p>
    <w:p w14:paraId="5AE33620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5786B">
        <w:rPr>
          <w:rFonts w:ascii="Segoe UI" w:eastAsia="宋体" w:hAnsi="Segoe UI" w:cs="Segoe UI"/>
          <w:b/>
          <w:bCs/>
          <w:kern w:val="0"/>
          <w:sz w:val="27"/>
          <w:szCs w:val="27"/>
        </w:rPr>
        <w:t>四、可再生能源利用率计算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641"/>
        <w:gridCol w:w="4033"/>
      </w:tblGrid>
      <w:tr w:rsidR="0025786B" w:rsidRPr="0025786B" w14:paraId="60563B35" w14:textId="77777777" w:rsidTr="0025786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A045C9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A219E4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数值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C832EC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计算依据</w:t>
            </w:r>
          </w:p>
        </w:tc>
      </w:tr>
      <w:tr w:rsidR="0025786B" w:rsidRPr="0025786B" w14:paraId="0A4D5FCA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2A5849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建筑年总能耗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89E845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420,000kWh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A093A7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能耗模拟报告</w:t>
            </w:r>
          </w:p>
        </w:tc>
      </w:tr>
      <w:tr w:rsidR="0025786B" w:rsidRPr="0025786B" w14:paraId="694DE1A9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606E12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光伏发电量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6B9063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36,000kWh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8F1CBB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绍兴市太阳辐射量（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1,200kWh/m²·a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</w:tr>
      <w:tr w:rsidR="0025786B" w:rsidRPr="0025786B" w14:paraId="5E72A7D7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D70548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热泵节能量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F282C9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41,175kWh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901497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替代传统电加热方案</w:t>
            </w:r>
          </w:p>
        </w:tc>
      </w:tr>
      <w:tr w:rsidR="0025786B" w:rsidRPr="0025786B" w14:paraId="605B0479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9DCBC7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总可再生能源贡献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9F87FB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77,175kWh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30773B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</w:tr>
      <w:tr w:rsidR="0025786B" w:rsidRPr="0025786B" w14:paraId="784F1A07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C78155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利用率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B95884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18.4%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85BA75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Times New Roman"/>
                <w:kern w:val="0"/>
                <w:sz w:val="18"/>
                <w:szCs w:val="18"/>
                <w:bdr w:val="none" w:sz="0" w:space="0" w:color="auto" w:frame="1"/>
              </w:rPr>
              <w:t>420,00077,175</w:t>
            </w:r>
            <w:r w:rsidRPr="0025786B">
              <w:rPr>
                <w:rFonts w:ascii="inherit" w:eastAsia="宋体" w:hAnsi="inherit" w:cs="Times New Roman"/>
                <w:kern w:val="0"/>
                <w:sz w:val="2"/>
                <w:szCs w:val="2"/>
                <w:bdr w:val="none" w:sz="0" w:space="0" w:color="auto" w:frame="1"/>
              </w:rPr>
              <w:t>​</w:t>
            </w:r>
            <w:r w:rsidRPr="0025786B">
              <w:rPr>
                <w:rFonts w:ascii="Times New Roman" w:eastAsia="宋体" w:hAnsi="Times New Roman" w:cs="Times New Roman"/>
                <w:kern w:val="0"/>
                <w:sz w:val="25"/>
                <w:szCs w:val="25"/>
                <w:bdr w:val="none" w:sz="0" w:space="0" w:color="auto" w:frame="1"/>
              </w:rPr>
              <w:t>×100%</w:t>
            </w:r>
          </w:p>
        </w:tc>
      </w:tr>
    </w:tbl>
    <w:p w14:paraId="0DA684BE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pict w14:anchorId="7C907CAC">
          <v:rect id="_x0000_i1029" style="width:0;height:1.5pt" o:hralign="center" o:hrstd="t" o:hr="t" fillcolor="#a0a0a0" stroked="f"/>
        </w:pict>
      </w:r>
    </w:p>
    <w:p w14:paraId="483F2CCA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5786B">
        <w:rPr>
          <w:rFonts w:ascii="Segoe UI" w:eastAsia="宋体" w:hAnsi="Segoe UI" w:cs="Segoe UI"/>
          <w:b/>
          <w:bCs/>
          <w:kern w:val="0"/>
          <w:sz w:val="27"/>
          <w:szCs w:val="27"/>
        </w:rPr>
        <w:t>五、关键技术创新</w:t>
      </w:r>
    </w:p>
    <w:p w14:paraId="3AA60AF7" w14:textId="77777777" w:rsidR="0025786B" w:rsidRPr="0025786B" w:rsidRDefault="0025786B" w:rsidP="0025786B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光伏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-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瓦一体化设计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：采用仿古陶瓷光伏瓦（效率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18%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），实现历史风貌保护与发电功能融合。</w:t>
      </w:r>
    </w:p>
    <w:p w14:paraId="0EFF6772" w14:textId="77777777" w:rsidR="0025786B" w:rsidRPr="0025786B" w:rsidRDefault="0025786B" w:rsidP="0025786B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热泵智能除霜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：基于绍兴冬季湿度大的特点，配置湿度感应除霜模块，提升能效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15%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7303F5A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4E0BCAF8">
          <v:rect id="_x0000_i1030" style="width:0;height:1.5pt" o:hralign="center" o:hrstd="t" o:hr="t" fillcolor="#a0a0a0" stroked="f"/>
        </w:pict>
      </w:r>
    </w:p>
    <w:p w14:paraId="10FB4FB7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5786B">
        <w:rPr>
          <w:rFonts w:ascii="Segoe UI" w:eastAsia="宋体" w:hAnsi="Segoe UI" w:cs="Segoe UI"/>
          <w:b/>
          <w:bCs/>
          <w:kern w:val="0"/>
          <w:sz w:val="27"/>
          <w:szCs w:val="27"/>
        </w:rPr>
        <w:t>六、竣工验收记录表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48"/>
        <w:gridCol w:w="1524"/>
        <w:gridCol w:w="902"/>
      </w:tblGrid>
      <w:tr w:rsidR="0025786B" w:rsidRPr="0025786B" w14:paraId="352D0883" w14:textId="77777777" w:rsidTr="0025786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2DE83D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验收项目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332DF3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768930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实测结果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79BBF9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结论</w:t>
            </w:r>
          </w:p>
        </w:tc>
      </w:tr>
      <w:tr w:rsidR="0025786B" w:rsidRPr="0025786B" w14:paraId="5ADDA552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AC6741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光伏系统装机容量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01DE0A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≥40kWp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AFECAB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45kWp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171717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25786B" w:rsidRPr="0025786B" w14:paraId="0757EDA3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1C1E13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光伏瓦透光率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BA65DD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≤30%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E2BA83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19E44C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25786B" w:rsidRPr="0025786B" w14:paraId="36F362EF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3443844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热泵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COP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B2F6F6D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≥3.0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D2A9EC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CDB05A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优秀</w:t>
            </w:r>
          </w:p>
        </w:tc>
      </w:tr>
      <w:tr w:rsidR="0025786B" w:rsidRPr="0025786B" w14:paraId="4DE3EB61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27366E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年总可再生能源量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5FD801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≥42,000kWh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EE611F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77,175kWh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10DC66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优秀</w:t>
            </w:r>
          </w:p>
        </w:tc>
      </w:tr>
      <w:tr w:rsidR="0025786B" w:rsidRPr="0025786B" w14:paraId="2BBC096F" w14:textId="77777777" w:rsidTr="002578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C9B62A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系统并网稳定性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5E3F80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无故障运行</w:t>
            </w:r>
            <w:r w:rsidRPr="0025786B">
              <w:rPr>
                <w:rFonts w:ascii="inherit" w:eastAsia="宋体" w:hAnsi="inherit" w:cs="宋体"/>
                <w:kern w:val="0"/>
                <w:szCs w:val="21"/>
              </w:rPr>
              <w:t>720h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B6EDF6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达标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AD3D5BF" w14:textId="77777777" w:rsidR="0025786B" w:rsidRPr="0025786B" w:rsidRDefault="0025786B" w:rsidP="0025786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5786B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</w:tbl>
    <w:p w14:paraId="67C2A357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pict w14:anchorId="357668EE">
          <v:rect id="_x0000_i1031" style="width:0;height:1.5pt" o:hralign="center" o:hrstd="t" o:hr="t" fillcolor="#a0a0a0" stroked="f"/>
        </w:pict>
      </w:r>
    </w:p>
    <w:p w14:paraId="31012D67" w14:textId="77777777" w:rsidR="0025786B" w:rsidRPr="0025786B" w:rsidRDefault="0025786B" w:rsidP="0025786B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5786B">
        <w:rPr>
          <w:rFonts w:ascii="Segoe UI" w:eastAsia="宋体" w:hAnsi="Segoe UI" w:cs="Segoe UI"/>
          <w:b/>
          <w:bCs/>
          <w:kern w:val="0"/>
          <w:sz w:val="27"/>
          <w:szCs w:val="27"/>
        </w:rPr>
        <w:t>七、附件清单</w:t>
      </w:r>
    </w:p>
    <w:p w14:paraId="1537985F" w14:textId="77777777" w:rsidR="0025786B" w:rsidRPr="0025786B" w:rsidRDefault="0025786B" w:rsidP="0025786B">
      <w:pPr>
        <w:widowControl/>
        <w:numPr>
          <w:ilvl w:val="0"/>
          <w:numId w:val="5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光伏系统电气接线图（图号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RE-01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0DD20B9" w14:textId="77777777" w:rsidR="0025786B" w:rsidRPr="0025786B" w:rsidRDefault="0025786B" w:rsidP="0025786B">
      <w:pPr>
        <w:widowControl/>
        <w:numPr>
          <w:ilvl w:val="0"/>
          <w:numId w:val="5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热泵机组性能检测报告（编号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HP2024-ZJ001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0E3D1321" w14:textId="77777777" w:rsidR="0025786B" w:rsidRPr="0025786B" w:rsidRDefault="0025786B" w:rsidP="0025786B">
      <w:pPr>
        <w:widowControl/>
        <w:numPr>
          <w:ilvl w:val="0"/>
          <w:numId w:val="5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绍兴市气象数据引用证明</w:t>
      </w:r>
    </w:p>
    <w:p w14:paraId="58139C1F" w14:textId="77777777" w:rsidR="0025786B" w:rsidRPr="0025786B" w:rsidRDefault="0025786B" w:rsidP="0025786B">
      <w:pPr>
        <w:widowControl/>
        <w:numPr>
          <w:ilvl w:val="0"/>
          <w:numId w:val="5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Segoe UI" w:eastAsia="宋体" w:hAnsi="Segoe UI" w:cs="Segoe UI"/>
          <w:kern w:val="0"/>
          <w:sz w:val="24"/>
          <w:szCs w:val="24"/>
        </w:rPr>
        <w:t>可再生能源利用率计算书（签字版）</w:t>
      </w:r>
    </w:p>
    <w:p w14:paraId="035947E1" w14:textId="77777777" w:rsidR="0025786B" w:rsidRPr="0025786B" w:rsidRDefault="0025786B" w:rsidP="0025786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宋体" w:eastAsia="宋体" w:hAnsi="宋体" w:cs="宋体"/>
          <w:kern w:val="0"/>
          <w:sz w:val="24"/>
          <w:szCs w:val="24"/>
        </w:rPr>
        <w:pict w14:anchorId="1AA44E53">
          <v:rect id="_x0000_i1032" style="width:0;height:1.5pt" o:hralign="center" o:hrstd="t" o:hr="t" fillcolor="#a0a0a0" stroked="f"/>
        </w:pict>
      </w:r>
    </w:p>
    <w:p w14:paraId="13272476" w14:textId="77777777" w:rsidR="0025786B" w:rsidRPr="0025786B" w:rsidRDefault="0025786B" w:rsidP="0025786B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结论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：本项目可再生能源利用率达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18.4%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，满足《绿色建筑评价标准》第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7.2.9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条满分要求，建议授予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分。</w:t>
      </w:r>
    </w:p>
    <w:p w14:paraId="5FAE6C4D" w14:textId="3845C1BB" w:rsidR="0025786B" w:rsidRPr="0025786B" w:rsidRDefault="0025786B" w:rsidP="0025786B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5786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签字栏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br/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建设单位：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___________________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br/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设计单位：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___________________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br/>
      </w:r>
      <w:r w:rsidRPr="0025786B">
        <w:rPr>
          <w:rFonts w:ascii="Segoe UI" w:eastAsia="宋体" w:hAnsi="Segoe UI" w:cs="Segoe UI"/>
          <w:kern w:val="0"/>
          <w:sz w:val="24"/>
          <w:szCs w:val="24"/>
        </w:rPr>
        <w:lastRenderedPageBreak/>
        <w:t>施工单位：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___________________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br/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验收日期：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25786B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40DD4845" w14:textId="77777777" w:rsidR="00A62871" w:rsidRPr="0025786B" w:rsidRDefault="00A62871"/>
    <w:sectPr w:rsidR="00A62871" w:rsidRPr="0025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eX_Math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4D2"/>
    <w:multiLevelType w:val="multilevel"/>
    <w:tmpl w:val="D5CA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D04FD"/>
    <w:multiLevelType w:val="multilevel"/>
    <w:tmpl w:val="FE3E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0277E"/>
    <w:multiLevelType w:val="multilevel"/>
    <w:tmpl w:val="A41E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534E0"/>
    <w:multiLevelType w:val="multilevel"/>
    <w:tmpl w:val="4CE4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44E86"/>
    <w:multiLevelType w:val="multilevel"/>
    <w:tmpl w:val="4FEC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241543">
    <w:abstractNumId w:val="3"/>
  </w:num>
  <w:num w:numId="2" w16cid:durableId="1655329253">
    <w:abstractNumId w:val="1"/>
  </w:num>
  <w:num w:numId="3" w16cid:durableId="353305986">
    <w:abstractNumId w:val="4"/>
  </w:num>
  <w:num w:numId="4" w16cid:durableId="1577087439">
    <w:abstractNumId w:val="0"/>
  </w:num>
  <w:num w:numId="5" w16cid:durableId="305669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6A"/>
    <w:rsid w:val="000628C8"/>
    <w:rsid w:val="0025786B"/>
    <w:rsid w:val="00292AF2"/>
    <w:rsid w:val="002A646A"/>
    <w:rsid w:val="004317F1"/>
    <w:rsid w:val="007C52D7"/>
    <w:rsid w:val="007F066D"/>
    <w:rsid w:val="00836368"/>
    <w:rsid w:val="008A7170"/>
    <w:rsid w:val="00A27E3F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E861"/>
  <w15:chartTrackingRefBased/>
  <w15:docId w15:val="{3C1BB4A4-3752-4744-AEB4-DABFFE6F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6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A64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6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9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2025-03-14T10:25:00Z</dcterms:created>
  <dcterms:modified xsi:type="dcterms:W3CDTF">2025-03-14T13:36:00Z</dcterms:modified>
</cp:coreProperties>
</file>