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F126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建筑用水水质检测报告</w:t>
      </w:r>
    </w:p>
    <w:p w14:paraId="06DFFAAD" w14:textId="1208B192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项目名称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：古韵新生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——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张爱玲故居低碳活化再利用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br/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项目地址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：浙江省绍兴市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br/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检测单位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清源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环境检测中心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br/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检测日期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2024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日</w:t>
      </w:r>
    </w:p>
    <w:p w14:paraId="59A07758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2A6D885A">
          <v:rect id="_x0000_i1025" style="width:0;height:1.5pt" o:hralign="center" o:hrstd="t" o:hr="t" fillcolor="#a0a0a0" stroked="f"/>
        </w:pict>
      </w:r>
    </w:p>
    <w:p w14:paraId="7C0F4328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一、检测依据</w:t>
      </w:r>
    </w:p>
    <w:p w14:paraId="70904DB7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《绿色建筑评价标准》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 xml:space="preserve">GB/T 50378-2019 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第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5.2.3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条</w:t>
      </w:r>
    </w:p>
    <w:p w14:paraId="6B024CCE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《饮用净水水质标准》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CJ 94-2005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（直饮水）</w:t>
      </w:r>
    </w:p>
    <w:p w14:paraId="52496742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《生活饮用水卫生标准》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GB 5749-2022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（集中生活热水）</w:t>
      </w:r>
    </w:p>
    <w:p w14:paraId="650B2285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《游泳池水质标准》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CJ 244-2016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（游泳池水）</w:t>
      </w:r>
    </w:p>
    <w:p w14:paraId="77383675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《工业循环冷却水处理设计规范》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GB 50050-2017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（供暖空调系统用水）</w:t>
      </w:r>
    </w:p>
    <w:p w14:paraId="428E2728" w14:textId="77777777" w:rsidR="00190B6E" w:rsidRPr="00190B6E" w:rsidRDefault="00190B6E" w:rsidP="00190B6E">
      <w:pPr>
        <w:widowControl/>
        <w:numPr>
          <w:ilvl w:val="0"/>
          <w:numId w:val="1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《城市污水再生利用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 xml:space="preserve"> 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景观环境用水水质》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GB/T 18921-2019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（景观水体）</w:t>
      </w:r>
    </w:p>
    <w:p w14:paraId="6280FEB9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4714A881">
          <v:rect id="_x0000_i1026" style="width:0;height:1.5pt" o:hralign="center" o:hrstd="t" o:hr="t" fillcolor="#a0a0a0" stroked="f"/>
        </w:pict>
      </w:r>
    </w:p>
    <w:p w14:paraId="09B8ED35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二、检测范围及方法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4391"/>
        <w:gridCol w:w="2447"/>
      </w:tblGrid>
      <w:tr w:rsidR="00190B6E" w:rsidRPr="00190B6E" w14:paraId="2E13A3D5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70B03F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用水类型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2617E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C6F1F6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检测方法</w:t>
            </w:r>
          </w:p>
        </w:tc>
      </w:tr>
      <w:tr w:rsidR="00190B6E" w:rsidRPr="00190B6E" w14:paraId="0BD7B3F6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80E2D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直饮水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58A4DD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浑浊度、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值、总硬度、菌落总数、总大肠菌群、重金属（铅、镉）等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D9B3E9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分光光度法、膜过滤法、原子吸收法</w:t>
            </w:r>
          </w:p>
        </w:tc>
      </w:tr>
      <w:tr w:rsidR="00190B6E" w:rsidRPr="00190B6E" w14:paraId="4A9B0903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1F8E5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集中生活热水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A3FB9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色度、余氯、耐热大肠菌群、铁、锰、铜等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F6B56E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比色法、微生物培养法</w:t>
            </w:r>
          </w:p>
        </w:tc>
      </w:tr>
      <w:tr w:rsidR="00190B6E" w:rsidRPr="00190B6E" w14:paraId="23A39B2B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B59FF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游泳池水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C5B0F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游离余氯、尿素、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值、浑浊度、氧化还原电位（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ORP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22304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电极法、分光光度法</w:t>
            </w:r>
          </w:p>
        </w:tc>
      </w:tr>
      <w:tr w:rsidR="00190B6E" w:rsidRPr="00190B6E" w14:paraId="759D38C0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848614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供暖空调系统用水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1895B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值、电导率、总碱度、氯离子浓度、微生物</w:t>
            </w:r>
            <w:proofErr w:type="gramStart"/>
            <w:r w:rsidRPr="00190B6E">
              <w:rPr>
                <w:rFonts w:ascii="inherit" w:eastAsia="宋体" w:hAnsi="inherit" w:cs="宋体"/>
                <w:kern w:val="0"/>
                <w:szCs w:val="21"/>
              </w:rPr>
              <w:t>黏</w:t>
            </w:r>
            <w:proofErr w:type="gramEnd"/>
            <w:r w:rsidRPr="00190B6E">
              <w:rPr>
                <w:rFonts w:ascii="inherit" w:eastAsia="宋体" w:hAnsi="inherit" w:cs="宋体"/>
                <w:kern w:val="0"/>
                <w:szCs w:val="21"/>
              </w:rPr>
              <w:t>泥量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346F44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滴定法、电化学分析法</w:t>
            </w:r>
          </w:p>
        </w:tc>
      </w:tr>
      <w:tr w:rsidR="00190B6E" w:rsidRPr="00190B6E" w14:paraId="2D19F1E5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970EA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景观水体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1A85C5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COD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、氨氮、总磷、溶解氧（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DO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）、透明度、浮游生物密度等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8AB3A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重量法、纳氏试剂法</w:t>
            </w:r>
          </w:p>
        </w:tc>
      </w:tr>
    </w:tbl>
    <w:p w14:paraId="57619FD4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7E914576">
          <v:rect id="_x0000_i1027" style="width:0;height:1.5pt" o:hralign="center" o:hrstd="t" o:hr="t" fillcolor="#a0a0a0" stroked="f"/>
        </w:pict>
      </w:r>
    </w:p>
    <w:p w14:paraId="573D6659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三、检测结果及分析</w:t>
      </w:r>
    </w:p>
    <w:p w14:paraId="698C5878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直饮水（执行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CJ 94-2005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33"/>
        <w:gridCol w:w="1645"/>
        <w:gridCol w:w="902"/>
      </w:tblGrid>
      <w:tr w:rsidR="00190B6E" w:rsidRPr="00190B6E" w14:paraId="43F78FE6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2AE24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37090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62C9A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DE0F2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190B6E" w:rsidRPr="00190B6E" w14:paraId="63B3981D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5850C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浑浊度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1EF30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≤1 NTU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5E112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0.3 NTU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C42B0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2D42293C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DF71F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23097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6.5~8.5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2FB94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E3D3D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7C459E7D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34A5A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菌落总数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4C3129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≤50 CFU/mL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AD036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12 CFU/mL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A69148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60D66985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DE0FA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总大肠菌群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0A74D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30744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E8C4E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28F86650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9AF57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铅（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Pb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FC7FAD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≤0.01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EF3325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&lt;0.001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89E3E4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5C79E5A6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2622AF96">
          <v:rect id="_x0000_i1028" style="width:0;height:1.5pt" o:hralign="center" o:hrstd="t" o:hr="t" fillcolor="#a0a0a0" stroked="f"/>
        </w:pict>
      </w:r>
    </w:p>
    <w:p w14:paraId="4B6C024C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集中生活热水（执行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5749-2022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529"/>
        <w:gridCol w:w="1413"/>
        <w:gridCol w:w="902"/>
      </w:tblGrid>
      <w:tr w:rsidR="00190B6E" w:rsidRPr="00190B6E" w14:paraId="0C8B7439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A0F42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EC34E2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9989F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4F200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190B6E" w:rsidRPr="00190B6E" w14:paraId="1924EAF0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CF6687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色度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12EBE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≤15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F0159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5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792FA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6E3105B6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55BC8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余氯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2F2C0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≥0.05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B8512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0.12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0ED5E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0BE488E1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B50E8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耐热大肠菌群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FC25B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40C0C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30EC4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5EAEBFB0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63DE9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铁（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Fe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5FA2FE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≤0.3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FCDD7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0.08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C7F27F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70FC9CB3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1BB6E0BD">
          <v:rect id="_x0000_i1029" style="width:0;height:1.5pt" o:hralign="center" o:hrstd="t" o:hr="t" fillcolor="#a0a0a0" stroked="f"/>
        </w:pict>
      </w:r>
    </w:p>
    <w:p w14:paraId="26147019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游泳池水（执行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CJ 244-2016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22"/>
        <w:gridCol w:w="1324"/>
        <w:gridCol w:w="902"/>
      </w:tblGrid>
      <w:tr w:rsidR="00190B6E" w:rsidRPr="00190B6E" w14:paraId="06D1FEC5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1D264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53532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A9F0B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834A9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190B6E" w:rsidRPr="00190B6E" w14:paraId="5844CC6D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127729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游离余氯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64702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0.3~1.0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2EC1A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C84D29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62084E34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6343B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尿素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29C6AF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≤3.5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EB7DD1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1.2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A8EFE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50CC7FD2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AD004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浑浊度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F06009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≤1 NTU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A1149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0.6 NTU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A0684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42126AFA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507EF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氧化还原电位（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ORP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22D3B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≥650 mV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21107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720 mV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8157D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579EDD4C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51D884EE">
          <v:rect id="_x0000_i1030" style="width:0;height:1.5pt" o:hralign="center" o:hrstd="t" o:hr="t" fillcolor="#a0a0a0" stroked="f"/>
        </w:pict>
      </w:r>
    </w:p>
    <w:p w14:paraId="049C9CB5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4. 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供暖空调系统用水（执行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50050-2017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697"/>
        <w:gridCol w:w="1581"/>
        <w:gridCol w:w="902"/>
      </w:tblGrid>
      <w:tr w:rsidR="00190B6E" w:rsidRPr="00190B6E" w14:paraId="28CE97B0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34750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7ADDB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97C01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B0342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190B6E" w:rsidRPr="00190B6E" w14:paraId="2AF2267E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89DFFA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654C7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7.0~9.5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3222F4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73C24F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250491D1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BB88C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电导率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7B7F2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 xml:space="preserve">≤3000 </w:t>
            </w:r>
            <w:proofErr w:type="spellStart"/>
            <w:r w:rsidRPr="00190B6E">
              <w:rPr>
                <w:rFonts w:ascii="inherit" w:eastAsia="宋体" w:hAnsi="inherit" w:cs="宋体"/>
                <w:kern w:val="0"/>
                <w:szCs w:val="21"/>
              </w:rPr>
              <w:t>μS</w:t>
            </w:r>
            <w:proofErr w:type="spellEnd"/>
            <w:r w:rsidRPr="00190B6E">
              <w:rPr>
                <w:rFonts w:ascii="inherit" w:eastAsia="宋体" w:hAnsi="inherit" w:cs="宋体"/>
                <w:kern w:val="0"/>
                <w:szCs w:val="21"/>
              </w:rPr>
              <w:t>/cm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C8F559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 xml:space="preserve">1200 </w:t>
            </w:r>
            <w:proofErr w:type="spellStart"/>
            <w:r w:rsidRPr="00190B6E">
              <w:rPr>
                <w:rFonts w:ascii="inherit" w:eastAsia="宋体" w:hAnsi="inherit" w:cs="宋体"/>
                <w:kern w:val="0"/>
                <w:szCs w:val="21"/>
              </w:rPr>
              <w:t>μS</w:t>
            </w:r>
            <w:proofErr w:type="spellEnd"/>
            <w:r w:rsidRPr="00190B6E">
              <w:rPr>
                <w:rFonts w:ascii="inherit" w:eastAsia="宋体" w:hAnsi="inherit" w:cs="宋体"/>
                <w:kern w:val="0"/>
                <w:szCs w:val="21"/>
              </w:rPr>
              <w:t>/cm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79217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7B72F51A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5AC76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氯离子（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Cl⁻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49FC6E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≤250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9D7C2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85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AFE863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2901DE7E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31F02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微生物</w:t>
            </w:r>
            <w:proofErr w:type="gramStart"/>
            <w:r w:rsidRPr="00190B6E">
              <w:rPr>
                <w:rFonts w:ascii="inherit" w:eastAsia="宋体" w:hAnsi="inherit" w:cs="宋体"/>
                <w:kern w:val="0"/>
                <w:szCs w:val="21"/>
              </w:rPr>
              <w:t>黏</w:t>
            </w:r>
            <w:proofErr w:type="gramEnd"/>
            <w:r w:rsidRPr="00190B6E">
              <w:rPr>
                <w:rFonts w:ascii="inherit" w:eastAsia="宋体" w:hAnsi="inherit" w:cs="宋体"/>
                <w:kern w:val="0"/>
                <w:szCs w:val="21"/>
              </w:rPr>
              <w:t>泥量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AD74FB5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≤4 mL/m³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197B12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1.5 mL/m³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930A6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47C15001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7A70893B">
          <v:rect id="_x0000_i1031" style="width:0;height:1.5pt" o:hralign="center" o:hrstd="t" o:hr="t" fillcolor="#a0a0a0" stroked="f"/>
        </w:pict>
      </w:r>
    </w:p>
    <w:p w14:paraId="5E271419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5. 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景观水体（执行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GB/T 18921-2019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413"/>
        <w:gridCol w:w="1324"/>
        <w:gridCol w:w="902"/>
      </w:tblGrid>
      <w:tr w:rsidR="00190B6E" w:rsidRPr="00190B6E" w14:paraId="2389BC48" w14:textId="77777777" w:rsidTr="00190B6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3AE5D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902C05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F57729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E93458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190B6E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190B6E" w:rsidRPr="00190B6E" w14:paraId="505860A2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08E55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COD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53ADA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≤40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3A829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22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B1A6CB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6211067E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800B1A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氨氮（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NH₃-N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36E5FE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2243A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1.8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E8A133F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1FBAC956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232E8DD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lastRenderedPageBreak/>
              <w:t>总磷（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TP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1C3F00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≤1.0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A9BF3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0.6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1A51A4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190B6E" w:rsidRPr="00190B6E" w14:paraId="1A652766" w14:textId="77777777" w:rsidTr="00190B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CAAA07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溶解氧（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DO</w:t>
            </w:r>
            <w:r w:rsidRPr="00190B6E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8E9BAD1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≥2.0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B0A976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5.5 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61DCEC" w14:textId="77777777" w:rsidR="00190B6E" w:rsidRPr="00190B6E" w:rsidRDefault="00190B6E" w:rsidP="00190B6E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190B6E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35A5297B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4A4D966B">
          <v:rect id="_x0000_i1032" style="width:0;height:1.5pt" o:hralign="center" o:hrstd="t" o:hr="t" fillcolor="#a0a0a0" stroked="f"/>
        </w:pict>
      </w:r>
    </w:p>
    <w:p w14:paraId="1C351AB8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四、结论</w:t>
      </w:r>
    </w:p>
    <w:p w14:paraId="3C4EBFD0" w14:textId="77777777" w:rsidR="00190B6E" w:rsidRPr="00190B6E" w:rsidRDefault="00190B6E" w:rsidP="00190B6E">
      <w:pPr>
        <w:widowControl/>
        <w:numPr>
          <w:ilvl w:val="0"/>
          <w:numId w:val="2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本项目直饮水、集中生活热水、游泳池水、供暖空调系统用水及景观水体水质均满足国家现行标准要求。</w:t>
      </w:r>
    </w:p>
    <w:p w14:paraId="34216688" w14:textId="77777777" w:rsidR="00190B6E" w:rsidRPr="00190B6E" w:rsidRDefault="00190B6E" w:rsidP="00190B6E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依据《绿色建筑评价标准》第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5.2.3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条，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得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8</w:t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00672C54" w14:textId="77777777" w:rsidR="00190B6E" w:rsidRPr="00190B6E" w:rsidRDefault="00190B6E" w:rsidP="00190B6E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宋体" w:eastAsia="宋体" w:hAnsi="宋体" w:cs="宋体"/>
          <w:kern w:val="0"/>
          <w:sz w:val="24"/>
          <w:szCs w:val="24"/>
        </w:rPr>
        <w:pict w14:anchorId="1D9055A0">
          <v:rect id="_x0000_i1033" style="width:0;height:1.5pt" o:hralign="center" o:hrstd="t" o:hr="t" fillcolor="#a0a0a0" stroked="f"/>
        </w:pict>
      </w:r>
    </w:p>
    <w:p w14:paraId="111C397B" w14:textId="77777777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190B6E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190B6E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五、建议</w:t>
      </w:r>
    </w:p>
    <w:p w14:paraId="02D5E88C" w14:textId="77777777" w:rsidR="00190B6E" w:rsidRPr="00190B6E" w:rsidRDefault="00190B6E" w:rsidP="00190B6E">
      <w:pPr>
        <w:widowControl/>
        <w:numPr>
          <w:ilvl w:val="0"/>
          <w:numId w:val="3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直饮水系统每季度清洗一次滤芯，定期检测微生物指标；</w:t>
      </w:r>
    </w:p>
    <w:p w14:paraId="634701EE" w14:textId="77777777" w:rsidR="00190B6E" w:rsidRPr="00190B6E" w:rsidRDefault="00190B6E" w:rsidP="00190B6E">
      <w:pPr>
        <w:widowControl/>
        <w:numPr>
          <w:ilvl w:val="0"/>
          <w:numId w:val="3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游泳池水增加</w:t>
      </w:r>
      <w:proofErr w:type="gramStart"/>
      <w:r w:rsidRPr="00190B6E">
        <w:rPr>
          <w:rFonts w:ascii="Segoe UI" w:eastAsia="宋体" w:hAnsi="Segoe UI" w:cs="Segoe UI"/>
          <w:kern w:val="0"/>
          <w:sz w:val="24"/>
          <w:szCs w:val="24"/>
        </w:rPr>
        <w:t>自动投氯装置</w:t>
      </w:r>
      <w:proofErr w:type="gramEnd"/>
      <w:r w:rsidRPr="00190B6E">
        <w:rPr>
          <w:rFonts w:ascii="Segoe UI" w:eastAsia="宋体" w:hAnsi="Segoe UI" w:cs="Segoe UI"/>
          <w:kern w:val="0"/>
          <w:sz w:val="24"/>
          <w:szCs w:val="24"/>
        </w:rPr>
        <w:t>，确保游离余氯稳定达标；</w:t>
      </w:r>
    </w:p>
    <w:p w14:paraId="3621E6E7" w14:textId="77777777" w:rsidR="00190B6E" w:rsidRPr="00190B6E" w:rsidRDefault="00190B6E" w:rsidP="00190B6E">
      <w:pPr>
        <w:widowControl/>
        <w:numPr>
          <w:ilvl w:val="0"/>
          <w:numId w:val="3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Segoe UI" w:eastAsia="宋体" w:hAnsi="Segoe UI" w:cs="Segoe UI"/>
          <w:kern w:val="0"/>
          <w:sz w:val="24"/>
          <w:szCs w:val="24"/>
        </w:rPr>
        <w:t>景观水体增设生态浮岛，强化水体自净能力。</w:t>
      </w:r>
    </w:p>
    <w:p w14:paraId="4DA40E00" w14:textId="035C781E" w:rsidR="00190B6E" w:rsidRPr="00190B6E" w:rsidRDefault="00190B6E" w:rsidP="00190B6E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检测机构签章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清源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环境检测中心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br/>
      </w:r>
      <w:r w:rsidRPr="00190B6E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签发日期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2024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190B6E">
        <w:rPr>
          <w:rFonts w:ascii="Segoe UI" w:eastAsia="宋体" w:hAnsi="Segoe UI" w:cs="Segoe UI"/>
          <w:kern w:val="0"/>
          <w:sz w:val="24"/>
          <w:szCs w:val="24"/>
        </w:rPr>
        <w:t>日</w:t>
      </w:r>
    </w:p>
    <w:sectPr w:rsidR="00190B6E" w:rsidRPr="0019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F5E"/>
    <w:multiLevelType w:val="multilevel"/>
    <w:tmpl w:val="241C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92DE2"/>
    <w:multiLevelType w:val="multilevel"/>
    <w:tmpl w:val="EB6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56E2B"/>
    <w:multiLevelType w:val="multilevel"/>
    <w:tmpl w:val="8250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F1991"/>
    <w:multiLevelType w:val="multilevel"/>
    <w:tmpl w:val="1ED2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73064">
    <w:abstractNumId w:val="1"/>
  </w:num>
  <w:num w:numId="2" w16cid:durableId="474566481">
    <w:abstractNumId w:val="3"/>
  </w:num>
  <w:num w:numId="3" w16cid:durableId="709956290">
    <w:abstractNumId w:val="0"/>
  </w:num>
  <w:num w:numId="4" w16cid:durableId="93802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B"/>
    <w:rsid w:val="000628C8"/>
    <w:rsid w:val="00190B6E"/>
    <w:rsid w:val="00292AF2"/>
    <w:rsid w:val="002A0812"/>
    <w:rsid w:val="00390F0B"/>
    <w:rsid w:val="004317F1"/>
    <w:rsid w:val="007C52D7"/>
    <w:rsid w:val="007F066D"/>
    <w:rsid w:val="00836368"/>
    <w:rsid w:val="008A7170"/>
    <w:rsid w:val="00A62871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CC86"/>
  <w15:chartTrackingRefBased/>
  <w15:docId w15:val="{77FF9380-22F5-42D6-AAA6-D5CF1E85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0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F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F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0F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8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6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2025-03-13T16:39:00Z</dcterms:created>
  <dcterms:modified xsi:type="dcterms:W3CDTF">2025-03-13T16:41:00Z</dcterms:modified>
</cp:coreProperties>
</file>