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20AF2" w14:textId="77777777" w:rsidR="001152F4" w:rsidRPr="001152F4" w:rsidRDefault="001152F4" w:rsidP="001152F4">
      <w:pPr>
        <w:widowControl/>
        <w:shd w:val="clear" w:color="auto" w:fill="FCFCFC"/>
        <w:spacing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安全防护措施专项报告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br/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（依据《绿色建筑评价标准》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 xml:space="preserve">GB/T 50378-2019 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第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4.2.2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条编制）</w:t>
      </w:r>
    </w:p>
    <w:p w14:paraId="0BEAA96E" w14:textId="77777777" w:rsidR="001152F4" w:rsidRPr="001152F4" w:rsidRDefault="001152F4" w:rsidP="001152F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宋体" w:eastAsia="宋体" w:hAnsi="宋体" w:cs="宋体"/>
          <w:kern w:val="0"/>
          <w:sz w:val="24"/>
          <w:szCs w:val="24"/>
        </w:rPr>
        <w:pict w14:anchorId="175527F2">
          <v:rect id="_x0000_i1025" style="width:0;height:1.5pt" o:hralign="center" o:hrstd="t" o:hr="t" fillcolor="#a0a0a0" stroked="f"/>
        </w:pict>
      </w:r>
    </w:p>
    <w:p w14:paraId="44728753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1152F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一、项目基本信息</w:t>
      </w:r>
    </w:p>
    <w:p w14:paraId="78BE54FD" w14:textId="2B8F25D4" w:rsidR="001152F4" w:rsidRPr="001152F4" w:rsidRDefault="001152F4" w:rsidP="001152F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项目名称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  <w:bookmarkStart w:id="0" w:name="工程名称"/>
      <w:r w:rsidR="00547A18">
        <w:rPr>
          <w:rFonts w:ascii="宋体" w:hAnsi="宋体" w:hint="eastAsia"/>
          <w:szCs w:val="21"/>
        </w:rPr>
        <w:t>古韵新生——张爱玲故居的低碳活化再利用</w:t>
      </w:r>
      <w:bookmarkEnd w:id="0"/>
      <w:r w:rsidRPr="001152F4">
        <w:rPr>
          <w:rFonts w:ascii="Segoe UI" w:eastAsia="宋体" w:hAnsi="Segoe UI" w:cs="Segoe UI"/>
          <w:kern w:val="0"/>
          <w:sz w:val="24"/>
          <w:szCs w:val="24"/>
        </w:rPr>
        <w:t>绿色建筑项目</w:t>
      </w:r>
    </w:p>
    <w:p w14:paraId="38CF65F2" w14:textId="2F6494E6" w:rsidR="001152F4" w:rsidRPr="001152F4" w:rsidRDefault="001152F4" w:rsidP="001152F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建设地址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绍兴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市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诸暨斯宅村</w:t>
      </w:r>
    </w:p>
    <w:p w14:paraId="0786CE75" w14:textId="697E5663" w:rsidR="001152F4" w:rsidRPr="001152F4" w:rsidRDefault="001152F4" w:rsidP="001152F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建筑面积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  <w:r w:rsidR="00F257F1">
        <w:rPr>
          <w:rFonts w:ascii="Segoe UI" w:eastAsia="宋体" w:hAnsi="Segoe UI" w:cs="Segoe UI" w:hint="eastAsia"/>
          <w:kern w:val="0"/>
          <w:sz w:val="24"/>
          <w:szCs w:val="24"/>
        </w:rPr>
        <w:t>996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平方米</w:t>
      </w:r>
    </w:p>
    <w:p w14:paraId="59AB144D" w14:textId="77777777" w:rsidR="001152F4" w:rsidRPr="001152F4" w:rsidRDefault="001152F4" w:rsidP="001152F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检测单位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XX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建筑工程检测研究院</w:t>
      </w:r>
    </w:p>
    <w:p w14:paraId="1336B7D9" w14:textId="7E432DA4" w:rsidR="001152F4" w:rsidRPr="001152F4" w:rsidRDefault="001152F4" w:rsidP="001152F4">
      <w:pPr>
        <w:widowControl/>
        <w:numPr>
          <w:ilvl w:val="0"/>
          <w:numId w:val="1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检测日期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202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5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年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02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月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10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3537CC8F" w14:textId="77777777" w:rsidR="001152F4" w:rsidRPr="001152F4" w:rsidRDefault="001152F4" w:rsidP="001152F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宋体" w:eastAsia="宋体" w:hAnsi="宋体" w:cs="宋体"/>
          <w:kern w:val="0"/>
          <w:sz w:val="24"/>
          <w:szCs w:val="24"/>
        </w:rPr>
        <w:pict w14:anchorId="38EA319A">
          <v:rect id="_x0000_i1026" style="width:0;height:1.5pt" o:hralign="center" o:hrstd="t" o:hr="t" fillcolor="#a0a0a0" stroked="f"/>
        </w:pict>
      </w:r>
    </w:p>
    <w:p w14:paraId="38AF63CA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1152F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二、设计依据与标准</w:t>
      </w:r>
    </w:p>
    <w:p w14:paraId="3B940E0E" w14:textId="77777777" w:rsidR="001152F4" w:rsidRPr="001152F4" w:rsidRDefault="001152F4" w:rsidP="001152F4">
      <w:pPr>
        <w:widowControl/>
        <w:numPr>
          <w:ilvl w:val="0"/>
          <w:numId w:val="2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《绿色建筑评价标准》（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GB/T 50378-2019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39EC087A" w14:textId="77777777" w:rsidR="001152F4" w:rsidRPr="001152F4" w:rsidRDefault="001152F4" w:rsidP="001152F4">
      <w:pPr>
        <w:widowControl/>
        <w:numPr>
          <w:ilvl w:val="0"/>
          <w:numId w:val="2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《建筑防护栏杆技术标准》（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JGJ/T 470-2019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2F0DFE8C" w14:textId="77777777" w:rsidR="001152F4" w:rsidRPr="001152F4" w:rsidRDefault="001152F4" w:rsidP="001152F4">
      <w:pPr>
        <w:widowControl/>
        <w:numPr>
          <w:ilvl w:val="0"/>
          <w:numId w:val="2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《建筑玻璃应用技术规程》（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JGJ 113-2015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6EB0C9D" w14:textId="77777777" w:rsidR="001152F4" w:rsidRPr="001152F4" w:rsidRDefault="001152F4" w:rsidP="001152F4">
      <w:pPr>
        <w:widowControl/>
        <w:numPr>
          <w:ilvl w:val="0"/>
          <w:numId w:val="2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《民用建筑设计统一标准》（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GB 50352-2019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</w:t>
      </w:r>
    </w:p>
    <w:p w14:paraId="424FAF03" w14:textId="77777777" w:rsidR="001152F4" w:rsidRPr="001152F4" w:rsidRDefault="001152F4" w:rsidP="001152F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宋体" w:eastAsia="宋体" w:hAnsi="宋体" w:cs="宋体"/>
          <w:kern w:val="0"/>
          <w:sz w:val="24"/>
          <w:szCs w:val="24"/>
        </w:rPr>
        <w:pict w14:anchorId="0B7DADC0">
          <v:rect id="_x0000_i1027" style="width:0;height:1.5pt" o:hralign="center" o:hrstd="t" o:hr="t" fillcolor="#a0a0a0" stroked="f"/>
        </w:pict>
      </w:r>
    </w:p>
    <w:p w14:paraId="05F9E6FA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1152F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三、安全防护措施分项分析</w:t>
      </w:r>
    </w:p>
    <w:p w14:paraId="5F1EB2F9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1. 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阳台、外窗、窗台及防护栏杆安全防护（对应条文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4.2.2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1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项）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37C4F677" w14:textId="77777777" w:rsidR="001152F4" w:rsidRPr="001152F4" w:rsidRDefault="001152F4" w:rsidP="001152F4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措施内容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1A2FFE50" w14:textId="77777777" w:rsidR="001152F4" w:rsidRPr="001152F4" w:rsidRDefault="001152F4" w:rsidP="001152F4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lastRenderedPageBreak/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防护栏杆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：采用不锈钢材质，竖向杆件间距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≤110mm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，高度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≥1.1m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（临空高度＞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24m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），通过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1.5kN/m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水平荷载测试，满足防攀爬设计（横向杆件间距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≥900mm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3E3BF6B0" w14:textId="77777777" w:rsidR="001152F4" w:rsidRPr="001152F4" w:rsidRDefault="001152F4" w:rsidP="001152F4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外窗安全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：外窗玻璃采用夹胶安全玻璃（符合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GB 15763.3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），窗台高度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≥0.9m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，外开窗限位器设置（开启角度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≤30°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1D739D8C" w14:textId="77777777" w:rsidR="001152F4" w:rsidRPr="001152F4" w:rsidRDefault="001152F4" w:rsidP="001152F4">
      <w:pPr>
        <w:widowControl/>
        <w:numPr>
          <w:ilvl w:val="1"/>
          <w:numId w:val="3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防撞设计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：阳台转角处设置圆弧形防撞护角，降低人员磕碰风险。</w:t>
      </w:r>
    </w:p>
    <w:p w14:paraId="776FD501" w14:textId="77777777" w:rsidR="001152F4" w:rsidRPr="001152F4" w:rsidRDefault="001152F4" w:rsidP="001152F4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检测结果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184B7CB4" w14:textId="77777777" w:rsidR="001152F4" w:rsidRPr="001152F4" w:rsidRDefault="001152F4" w:rsidP="001152F4">
      <w:pPr>
        <w:widowControl/>
        <w:numPr>
          <w:ilvl w:val="1"/>
          <w:numId w:val="3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栏杆抗冲击强度达标，材料耐腐蚀性通过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720h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盐雾试验；</w:t>
      </w:r>
    </w:p>
    <w:p w14:paraId="22FBCA40" w14:textId="77777777" w:rsidR="001152F4" w:rsidRPr="001152F4" w:rsidRDefault="001152F4" w:rsidP="001152F4">
      <w:pPr>
        <w:widowControl/>
        <w:numPr>
          <w:ilvl w:val="1"/>
          <w:numId w:val="3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外窗玻璃抗冲击性能符合标准（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10J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冲击无破裂）。</w:t>
      </w:r>
    </w:p>
    <w:p w14:paraId="308AD051" w14:textId="77777777" w:rsidR="001152F4" w:rsidRPr="001152F4" w:rsidRDefault="001152F4" w:rsidP="001152F4">
      <w:pPr>
        <w:widowControl/>
        <w:numPr>
          <w:ilvl w:val="0"/>
          <w:numId w:val="3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得分判定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：满足条文要求，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58668FD0" w14:textId="77777777" w:rsidR="001152F4" w:rsidRPr="001152F4" w:rsidRDefault="001152F4" w:rsidP="001152F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宋体" w:eastAsia="宋体" w:hAnsi="宋体" w:cs="宋体"/>
          <w:kern w:val="0"/>
          <w:sz w:val="24"/>
          <w:szCs w:val="24"/>
        </w:rPr>
        <w:pict w14:anchorId="6F7F5931">
          <v:rect id="_x0000_i1028" style="width:0;height:1.5pt" o:hralign="center" o:hrstd="t" o:hr="t" fillcolor="#a0a0a0" stroked="f"/>
        </w:pict>
      </w:r>
    </w:p>
    <w:p w14:paraId="71A7F6FA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2. 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建筑物出入口防护措施（对应条文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4.2.2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2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项）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53BABB8C" w14:textId="77777777" w:rsidR="001152F4" w:rsidRPr="001152F4" w:rsidRDefault="001152F4" w:rsidP="001152F4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措施内容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3DB9C4E6" w14:textId="77777777" w:rsidR="001152F4" w:rsidRPr="001152F4" w:rsidRDefault="001152F4" w:rsidP="001152F4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防脱落设计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1AC379A2" w14:textId="77777777" w:rsidR="001152F4" w:rsidRPr="001152F4" w:rsidRDefault="001152F4" w:rsidP="001152F4">
      <w:pPr>
        <w:widowControl/>
        <w:numPr>
          <w:ilvl w:val="2"/>
          <w:numId w:val="4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出入口上方设置挑檐雨棚，采用双层夹胶玻璃（抗风压等级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≥5kPa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）与钢结构龙骨固定；</w:t>
      </w:r>
    </w:p>
    <w:p w14:paraId="581DF9AB" w14:textId="77777777" w:rsidR="001152F4" w:rsidRPr="001152F4" w:rsidRDefault="001152F4" w:rsidP="001152F4">
      <w:pPr>
        <w:widowControl/>
        <w:numPr>
          <w:ilvl w:val="2"/>
          <w:numId w:val="4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外墙饰面采用干挂石材，锚栓固定间距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≤600mm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，结合防坠网（不锈钢丝网，孔径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≤50mm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10FFE958" w14:textId="77777777" w:rsidR="001152F4" w:rsidRPr="001152F4" w:rsidRDefault="001152F4" w:rsidP="001152F4">
      <w:pPr>
        <w:widowControl/>
        <w:numPr>
          <w:ilvl w:val="1"/>
          <w:numId w:val="4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功能结合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44A78EBD" w14:textId="77777777" w:rsidR="001152F4" w:rsidRPr="001152F4" w:rsidRDefault="001152F4" w:rsidP="001152F4">
      <w:pPr>
        <w:widowControl/>
        <w:numPr>
          <w:ilvl w:val="2"/>
          <w:numId w:val="4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雨棚与遮阳挡雨结合，覆盖人员通行区域，挑出宽度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≥1.5m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；</w:t>
      </w:r>
    </w:p>
    <w:p w14:paraId="6B1BC438" w14:textId="77777777" w:rsidR="001152F4" w:rsidRPr="001152F4" w:rsidRDefault="001152F4" w:rsidP="001152F4">
      <w:pPr>
        <w:widowControl/>
        <w:numPr>
          <w:ilvl w:val="2"/>
          <w:numId w:val="4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玻璃接缝处采用耐候密封胶，防止雨水渗漏。</w:t>
      </w:r>
    </w:p>
    <w:p w14:paraId="23439733" w14:textId="77777777" w:rsidR="001152F4" w:rsidRPr="001152F4" w:rsidRDefault="001152F4" w:rsidP="001152F4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检测结果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730C46EE" w14:textId="77777777" w:rsidR="001152F4" w:rsidRPr="001152F4" w:rsidRDefault="001152F4" w:rsidP="001152F4">
      <w:pPr>
        <w:widowControl/>
        <w:numPr>
          <w:ilvl w:val="1"/>
          <w:numId w:val="4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lastRenderedPageBreak/>
        <w:t>雨棚玻璃抗冲击测试合格（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9mm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钢球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1m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高度冲击无破损）；</w:t>
      </w:r>
    </w:p>
    <w:p w14:paraId="390A1CA3" w14:textId="77777777" w:rsidR="001152F4" w:rsidRPr="001152F4" w:rsidRDefault="001152F4" w:rsidP="001152F4">
      <w:pPr>
        <w:widowControl/>
        <w:numPr>
          <w:ilvl w:val="1"/>
          <w:numId w:val="4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干挂石材拉拔力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≥0.8MPa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，符合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JGJ 133-2001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要求。</w:t>
      </w:r>
    </w:p>
    <w:p w14:paraId="53F95C93" w14:textId="77777777" w:rsidR="001152F4" w:rsidRPr="001152F4" w:rsidRDefault="001152F4" w:rsidP="001152F4">
      <w:pPr>
        <w:widowControl/>
        <w:numPr>
          <w:ilvl w:val="0"/>
          <w:numId w:val="4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得分判定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：防护措施与功能结合有效，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2061588F" w14:textId="77777777" w:rsidR="001152F4" w:rsidRPr="001152F4" w:rsidRDefault="001152F4" w:rsidP="001152F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宋体" w:eastAsia="宋体" w:hAnsi="宋体" w:cs="宋体"/>
          <w:kern w:val="0"/>
          <w:sz w:val="24"/>
          <w:szCs w:val="24"/>
        </w:rPr>
        <w:pict w14:anchorId="038DA0B8">
          <v:rect id="_x0000_i1029" style="width:0;height:1.5pt" o:hralign="center" o:hrstd="t" o:hr="t" fillcolor="#a0a0a0" stroked="f"/>
        </w:pict>
      </w:r>
    </w:p>
    <w:p w14:paraId="518F21AB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3"/>
        <w:rPr>
          <w:rFonts w:ascii="Segoe UI" w:eastAsia="宋体" w:hAnsi="Segoe UI" w:cs="Segoe UI"/>
          <w:b/>
          <w:bCs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b/>
          <w:bCs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 xml:space="preserve">3. 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场地坠物风险控制（对应条文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4.2.2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第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3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项）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​</w:t>
      </w:r>
    </w:p>
    <w:p w14:paraId="7B0B6E0A" w14:textId="77777777" w:rsidR="001152F4" w:rsidRPr="001152F4" w:rsidRDefault="001152F4" w:rsidP="001152F4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措施内容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00897C6F" w14:textId="77777777" w:rsidR="001152F4" w:rsidRPr="001152F4" w:rsidRDefault="001152F4" w:rsidP="001152F4">
      <w:pPr>
        <w:widowControl/>
        <w:numPr>
          <w:ilvl w:val="1"/>
          <w:numId w:val="5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缓冲区设计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3577591C" w14:textId="77777777" w:rsidR="001152F4" w:rsidRPr="001152F4" w:rsidRDefault="001152F4" w:rsidP="001152F4">
      <w:pPr>
        <w:widowControl/>
        <w:numPr>
          <w:ilvl w:val="2"/>
          <w:numId w:val="5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建筑外围设置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3m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宽绿化隔离带，种植低矮灌木及草坪，缓冲高空坠物冲击；</w:t>
      </w:r>
    </w:p>
    <w:p w14:paraId="3EA25626" w14:textId="77777777" w:rsidR="001152F4" w:rsidRPr="001152F4" w:rsidRDefault="001152F4" w:rsidP="001152F4">
      <w:pPr>
        <w:widowControl/>
        <w:numPr>
          <w:ilvl w:val="2"/>
          <w:numId w:val="5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人行通道与建筑立面间设置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2.5m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宽硬质铺装隔离区，禁止堆放杂物。</w:t>
      </w:r>
    </w:p>
    <w:p w14:paraId="74CFBFFA" w14:textId="77777777" w:rsidR="001152F4" w:rsidRPr="001152F4" w:rsidRDefault="001152F4" w:rsidP="001152F4">
      <w:pPr>
        <w:widowControl/>
        <w:numPr>
          <w:ilvl w:val="1"/>
          <w:numId w:val="5"/>
        </w:numPr>
        <w:shd w:val="clear" w:color="auto" w:fill="FCFCFC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景观防护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6104C14B" w14:textId="77777777" w:rsidR="001152F4" w:rsidRPr="001152F4" w:rsidRDefault="001152F4" w:rsidP="001152F4">
      <w:pPr>
        <w:widowControl/>
        <w:numPr>
          <w:ilvl w:val="2"/>
          <w:numId w:val="5"/>
        </w:numPr>
        <w:shd w:val="clear" w:color="auto" w:fill="FCFCFC"/>
        <w:spacing w:after="120"/>
        <w:ind w:left="36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屋顶边缘设置花槽围栏（高度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≥0.6m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），种植轻质绿化植物，降低坠物风险；</w:t>
      </w:r>
    </w:p>
    <w:p w14:paraId="0E78549B" w14:textId="77777777" w:rsidR="001152F4" w:rsidRPr="001152F4" w:rsidRDefault="001152F4" w:rsidP="001152F4">
      <w:pPr>
        <w:widowControl/>
        <w:numPr>
          <w:ilvl w:val="2"/>
          <w:numId w:val="5"/>
        </w:numPr>
        <w:shd w:val="clear" w:color="auto" w:fill="FCFCFC"/>
        <w:spacing w:before="120"/>
        <w:ind w:left="36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场地内乔木距离建筑立面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≥5m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，定期修剪枝叶。</w:t>
      </w:r>
    </w:p>
    <w:p w14:paraId="3952898A" w14:textId="77777777" w:rsidR="001152F4" w:rsidRPr="001152F4" w:rsidRDefault="001152F4" w:rsidP="001152F4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检测结果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</w:p>
    <w:p w14:paraId="2E7334B2" w14:textId="77777777" w:rsidR="001152F4" w:rsidRPr="001152F4" w:rsidRDefault="001152F4" w:rsidP="001152F4">
      <w:pPr>
        <w:widowControl/>
        <w:numPr>
          <w:ilvl w:val="1"/>
          <w:numId w:val="5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绿化隔离带覆盖率达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100%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，铺装区抗冲击测试符合设计要求；</w:t>
      </w:r>
    </w:p>
    <w:p w14:paraId="14B96809" w14:textId="77777777" w:rsidR="001152F4" w:rsidRPr="001152F4" w:rsidRDefault="001152F4" w:rsidP="001152F4">
      <w:pPr>
        <w:widowControl/>
        <w:numPr>
          <w:ilvl w:val="1"/>
          <w:numId w:val="5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屋顶花槽荷载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≤1.2kN/m²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，满足安全性。</w:t>
      </w:r>
    </w:p>
    <w:p w14:paraId="27D8CCCE" w14:textId="77777777" w:rsidR="001152F4" w:rsidRPr="001152F4" w:rsidRDefault="001152F4" w:rsidP="001152F4">
      <w:pPr>
        <w:widowControl/>
        <w:numPr>
          <w:ilvl w:val="0"/>
          <w:numId w:val="5"/>
        </w:numPr>
        <w:shd w:val="clear" w:color="auto" w:fill="FCFCFC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得分判定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：缓冲区与隔离带设置合理，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得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5</w:t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分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。</w:t>
      </w:r>
    </w:p>
    <w:p w14:paraId="4335C2C4" w14:textId="77777777" w:rsidR="001152F4" w:rsidRPr="001152F4" w:rsidRDefault="001152F4" w:rsidP="001152F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宋体" w:eastAsia="宋体" w:hAnsi="宋体" w:cs="宋体"/>
          <w:kern w:val="0"/>
          <w:sz w:val="24"/>
          <w:szCs w:val="24"/>
        </w:rPr>
        <w:pict w14:anchorId="6B5B6651">
          <v:rect id="_x0000_i1030" style="width:0;height:1.5pt" o:hralign="center" o:hrstd="t" o:hr="t" fillcolor="#a0a0a0" stroked="f"/>
        </w:pict>
      </w:r>
    </w:p>
    <w:p w14:paraId="007DC16F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1152F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四、总分评定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3"/>
        <w:gridCol w:w="993"/>
        <w:gridCol w:w="4050"/>
      </w:tblGrid>
      <w:tr w:rsidR="001152F4" w:rsidRPr="001152F4" w14:paraId="033BFA7C" w14:textId="77777777" w:rsidTr="001152F4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37265D6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评分项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06B9AA86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得分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BCF855D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b/>
                <w:bCs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</w:rPr>
              <w:t>​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判定依据</w:t>
            </w:r>
          </w:p>
        </w:tc>
      </w:tr>
      <w:tr w:rsidR="001152F4" w:rsidRPr="001152F4" w14:paraId="7F05FA78" w14:textId="77777777" w:rsidTr="001152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F051547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安全防护水平提升措施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710E2167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5</w:t>
            </w:r>
            <w:r w:rsidRPr="001152F4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62470BE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栏杆、外窗、窗台均符合规范要求</w:t>
            </w:r>
          </w:p>
        </w:tc>
      </w:tr>
      <w:tr w:rsidR="001152F4" w:rsidRPr="001152F4" w14:paraId="37B22A94" w14:textId="77777777" w:rsidTr="001152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366B872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lastRenderedPageBreak/>
              <w:t>出入口防护与功能结合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36BEA1CA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5</w:t>
            </w:r>
            <w:r w:rsidRPr="001152F4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A519AF3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雨棚、防坠网、遮阳挡雨一体化设计</w:t>
            </w:r>
          </w:p>
        </w:tc>
      </w:tr>
      <w:tr w:rsidR="001152F4" w:rsidRPr="001152F4" w14:paraId="7297005D" w14:textId="77777777" w:rsidTr="001152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918427C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坠物风险缓冲区</w:t>
            </w:r>
            <w:r w:rsidRPr="001152F4">
              <w:rPr>
                <w:rFonts w:ascii="inherit" w:eastAsia="宋体" w:hAnsi="inherit" w:cs="宋体"/>
                <w:kern w:val="0"/>
                <w:szCs w:val="21"/>
              </w:rPr>
              <w:t>/</w:t>
            </w:r>
            <w:r w:rsidRPr="001152F4">
              <w:rPr>
                <w:rFonts w:ascii="inherit" w:eastAsia="宋体" w:hAnsi="inherit" w:cs="宋体"/>
                <w:kern w:val="0"/>
                <w:szCs w:val="21"/>
              </w:rPr>
              <w:t>隔离带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42BB7D44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5</w:t>
            </w:r>
            <w:r w:rsidRPr="001152F4">
              <w:rPr>
                <w:rFonts w:ascii="inherit" w:eastAsia="宋体" w:hAnsi="inherit" w:cs="宋体"/>
                <w:kern w:val="0"/>
                <w:szCs w:val="21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DC17AF6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绿化隔离带与硬质铺装区有效降低风险</w:t>
            </w:r>
          </w:p>
        </w:tc>
      </w:tr>
      <w:tr w:rsidR="001152F4" w:rsidRPr="001152F4" w14:paraId="1D53E06E" w14:textId="77777777" w:rsidTr="001152F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25F5D730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634D1963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15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8" w:type="dxa"/>
              <w:left w:w="240" w:type="dxa"/>
              <w:bottom w:w="158" w:type="dxa"/>
              <w:right w:w="240" w:type="dxa"/>
            </w:tcMar>
            <w:vAlign w:val="center"/>
            <w:hideMark/>
          </w:tcPr>
          <w:p w14:paraId="1FD3D9B6" w14:textId="77777777" w:rsidR="001152F4" w:rsidRPr="001152F4" w:rsidRDefault="001152F4" w:rsidP="001152F4">
            <w:pPr>
              <w:widowControl/>
              <w:jc w:val="center"/>
              <w:rPr>
                <w:rFonts w:ascii="inherit" w:eastAsia="宋体" w:hAnsi="inherit" w:cs="宋体"/>
                <w:kern w:val="0"/>
                <w:szCs w:val="21"/>
              </w:rPr>
            </w:pPr>
            <w:r w:rsidRPr="001152F4">
              <w:rPr>
                <w:rFonts w:ascii="inherit" w:eastAsia="宋体" w:hAnsi="inherit" w:cs="宋体"/>
                <w:kern w:val="0"/>
                <w:szCs w:val="21"/>
              </w:rPr>
              <w:t>​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符合绿建条文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4.2.2</w:t>
            </w:r>
            <w:r w:rsidRPr="001152F4">
              <w:rPr>
                <w:rFonts w:ascii="inherit" w:eastAsia="宋体" w:hAnsi="inherit" w:cs="宋体"/>
                <w:b/>
                <w:bCs/>
                <w:kern w:val="0"/>
                <w:szCs w:val="21"/>
                <w:bdr w:val="none" w:sz="0" w:space="0" w:color="auto" w:frame="1"/>
              </w:rPr>
              <w:t>满分要求</w:t>
            </w:r>
          </w:p>
        </w:tc>
      </w:tr>
    </w:tbl>
    <w:p w14:paraId="35D5901D" w14:textId="77777777" w:rsidR="001152F4" w:rsidRPr="001152F4" w:rsidRDefault="001152F4" w:rsidP="001152F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宋体" w:eastAsia="宋体" w:hAnsi="宋体" w:cs="宋体"/>
          <w:kern w:val="0"/>
          <w:sz w:val="24"/>
          <w:szCs w:val="24"/>
        </w:rPr>
        <w:pict w14:anchorId="2C712976">
          <v:rect id="_x0000_i1031" style="width:0;height:1.5pt" o:hralign="center" o:hrstd="t" o:hr="t" fillcolor="#a0a0a0" stroked="f"/>
        </w:pict>
      </w:r>
    </w:p>
    <w:p w14:paraId="5D066C32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1152F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五、改进建议</w:t>
      </w:r>
    </w:p>
    <w:p w14:paraId="5A7194D3" w14:textId="77777777" w:rsidR="001152F4" w:rsidRPr="001152F4" w:rsidRDefault="001152F4" w:rsidP="001152F4">
      <w:pPr>
        <w:widowControl/>
        <w:numPr>
          <w:ilvl w:val="0"/>
          <w:numId w:val="6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定期检查外窗限位器灵活性，防止老化失效；</w:t>
      </w:r>
    </w:p>
    <w:p w14:paraId="52675A9D" w14:textId="77777777" w:rsidR="001152F4" w:rsidRPr="001152F4" w:rsidRDefault="001152F4" w:rsidP="001152F4">
      <w:pPr>
        <w:widowControl/>
        <w:numPr>
          <w:ilvl w:val="0"/>
          <w:numId w:val="6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加强出入口雨棚玻璃的清洁维护，避免积尘影响透光性；</w:t>
      </w:r>
    </w:p>
    <w:p w14:paraId="620C0B74" w14:textId="77777777" w:rsidR="001152F4" w:rsidRPr="001152F4" w:rsidRDefault="001152F4" w:rsidP="001152F4">
      <w:pPr>
        <w:widowControl/>
        <w:numPr>
          <w:ilvl w:val="0"/>
          <w:numId w:val="6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每季度检查绿化隔离带植物生长情况，及时补种。</w:t>
      </w:r>
    </w:p>
    <w:p w14:paraId="032059DB" w14:textId="77777777" w:rsidR="001152F4" w:rsidRPr="001152F4" w:rsidRDefault="001152F4" w:rsidP="001152F4">
      <w:pPr>
        <w:widowControl/>
        <w:spacing w:before="240" w:after="240"/>
        <w:jc w:val="left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宋体" w:eastAsia="宋体" w:hAnsi="宋体" w:cs="宋体"/>
          <w:kern w:val="0"/>
          <w:sz w:val="24"/>
          <w:szCs w:val="24"/>
        </w:rPr>
        <w:pict w14:anchorId="0C506D69">
          <v:rect id="_x0000_i1032" style="width:0;height:1.5pt" o:hralign="center" o:hrstd="t" o:hr="t" fillcolor="#a0a0a0" stroked="f"/>
        </w:pict>
      </w:r>
    </w:p>
    <w:p w14:paraId="0B23CB94" w14:textId="77777777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outlineLvl w:val="2"/>
        <w:rPr>
          <w:rFonts w:ascii="Segoe UI" w:eastAsia="宋体" w:hAnsi="Segoe UI" w:cs="Segoe UI"/>
          <w:b/>
          <w:bCs/>
          <w:kern w:val="0"/>
          <w:sz w:val="27"/>
          <w:szCs w:val="27"/>
        </w:rPr>
      </w:pPr>
      <w:r w:rsidRPr="001152F4">
        <w:rPr>
          <w:rFonts w:ascii="Segoe UI" w:eastAsia="宋体" w:hAnsi="Segoe UI" w:cs="Segoe UI"/>
          <w:b/>
          <w:bCs/>
          <w:kern w:val="0"/>
          <w:sz w:val="27"/>
          <w:szCs w:val="27"/>
        </w:rPr>
        <w:t>​</w:t>
      </w:r>
      <w:r w:rsidRPr="001152F4">
        <w:rPr>
          <w:rFonts w:ascii="inherit" w:eastAsia="宋体" w:hAnsi="inherit" w:cs="Segoe UI"/>
          <w:b/>
          <w:bCs/>
          <w:kern w:val="0"/>
          <w:sz w:val="27"/>
          <w:szCs w:val="27"/>
          <w:bdr w:val="none" w:sz="0" w:space="0" w:color="auto" w:frame="1"/>
        </w:rPr>
        <w:t>六、附件</w:t>
      </w:r>
    </w:p>
    <w:p w14:paraId="774595E7" w14:textId="77777777" w:rsidR="001152F4" w:rsidRPr="001152F4" w:rsidRDefault="001152F4" w:rsidP="001152F4">
      <w:pPr>
        <w:widowControl/>
        <w:numPr>
          <w:ilvl w:val="0"/>
          <w:numId w:val="7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防护栏杆检测报告（编号：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XXX-2023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）；</w:t>
      </w:r>
    </w:p>
    <w:p w14:paraId="4394A509" w14:textId="77777777" w:rsidR="001152F4" w:rsidRPr="001152F4" w:rsidRDefault="001152F4" w:rsidP="001152F4">
      <w:pPr>
        <w:widowControl/>
        <w:numPr>
          <w:ilvl w:val="0"/>
          <w:numId w:val="7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玻璃抗冲击性能测试记录；</w:t>
      </w:r>
    </w:p>
    <w:p w14:paraId="388C2B01" w14:textId="77777777" w:rsidR="001152F4" w:rsidRPr="001152F4" w:rsidRDefault="001152F4" w:rsidP="001152F4">
      <w:pPr>
        <w:widowControl/>
        <w:numPr>
          <w:ilvl w:val="0"/>
          <w:numId w:val="7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Segoe UI" w:eastAsia="宋体" w:hAnsi="Segoe UI" w:cs="Segoe UI"/>
          <w:kern w:val="0"/>
          <w:sz w:val="24"/>
          <w:szCs w:val="24"/>
        </w:rPr>
        <w:t>场地缓冲区设计图纸（图号：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XX-2023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）。</w:t>
      </w:r>
    </w:p>
    <w:p w14:paraId="745A8BF1" w14:textId="3880E651" w:rsidR="001152F4" w:rsidRPr="001152F4" w:rsidRDefault="001152F4" w:rsidP="001152F4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eastAsia="宋体" w:hAnsi="Segoe UI" w:cs="Segoe UI"/>
          <w:kern w:val="0"/>
          <w:sz w:val="24"/>
          <w:szCs w:val="24"/>
        </w:rPr>
      </w:pP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编制单位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清源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建筑工程检测研究院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br/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审核人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张工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（注册工程师）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br/>
      </w:r>
      <w:r w:rsidRPr="001152F4">
        <w:rPr>
          <w:rFonts w:ascii="inherit" w:eastAsia="宋体" w:hAnsi="inherit" w:cs="Segoe UI"/>
          <w:b/>
          <w:bCs/>
          <w:kern w:val="0"/>
          <w:sz w:val="24"/>
          <w:szCs w:val="24"/>
          <w:bdr w:val="none" w:sz="0" w:space="0" w:color="auto" w:frame="1"/>
        </w:rPr>
        <w:t>日期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：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202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5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年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1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月</w:t>
      </w:r>
      <w:r w:rsidR="00547A18">
        <w:rPr>
          <w:rFonts w:ascii="Segoe UI" w:eastAsia="宋体" w:hAnsi="Segoe UI" w:cs="Segoe UI" w:hint="eastAsia"/>
          <w:kern w:val="0"/>
          <w:sz w:val="24"/>
          <w:szCs w:val="24"/>
        </w:rPr>
        <w:t>15</w:t>
      </w:r>
      <w:r w:rsidRPr="001152F4">
        <w:rPr>
          <w:rFonts w:ascii="Segoe UI" w:eastAsia="宋体" w:hAnsi="Segoe UI" w:cs="Segoe UI"/>
          <w:kern w:val="0"/>
          <w:sz w:val="24"/>
          <w:szCs w:val="24"/>
        </w:rPr>
        <w:t>日</w:t>
      </w:r>
    </w:p>
    <w:p w14:paraId="244CB300" w14:textId="77777777" w:rsidR="00A62871" w:rsidRPr="001152F4" w:rsidRDefault="00A62871">
      <w:pPr>
        <w:rPr>
          <w:rFonts w:hint="eastAsia"/>
        </w:rPr>
      </w:pPr>
    </w:p>
    <w:sectPr w:rsidR="00A62871" w:rsidRPr="00115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BD0D1" w14:textId="77777777" w:rsidR="002F5930" w:rsidRDefault="002F5930" w:rsidP="001152F4">
      <w:pPr>
        <w:rPr>
          <w:rFonts w:hint="eastAsia"/>
        </w:rPr>
      </w:pPr>
      <w:r>
        <w:separator/>
      </w:r>
    </w:p>
  </w:endnote>
  <w:endnote w:type="continuationSeparator" w:id="0">
    <w:p w14:paraId="732EA6A7" w14:textId="77777777" w:rsidR="002F5930" w:rsidRDefault="002F5930" w:rsidP="001152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99A3B" w14:textId="77777777" w:rsidR="002F5930" w:rsidRDefault="002F5930" w:rsidP="001152F4">
      <w:pPr>
        <w:rPr>
          <w:rFonts w:hint="eastAsia"/>
        </w:rPr>
      </w:pPr>
      <w:r>
        <w:separator/>
      </w:r>
    </w:p>
  </w:footnote>
  <w:footnote w:type="continuationSeparator" w:id="0">
    <w:p w14:paraId="7792CEB1" w14:textId="77777777" w:rsidR="002F5930" w:rsidRDefault="002F5930" w:rsidP="001152F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E24FC"/>
    <w:multiLevelType w:val="multilevel"/>
    <w:tmpl w:val="1136B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75293D"/>
    <w:multiLevelType w:val="multilevel"/>
    <w:tmpl w:val="78B64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3E4FB5"/>
    <w:multiLevelType w:val="multilevel"/>
    <w:tmpl w:val="43188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264106E"/>
    <w:multiLevelType w:val="multilevel"/>
    <w:tmpl w:val="197C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DA1187"/>
    <w:multiLevelType w:val="multilevel"/>
    <w:tmpl w:val="1B7CD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313A9C"/>
    <w:multiLevelType w:val="multilevel"/>
    <w:tmpl w:val="7188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4A00E0"/>
    <w:multiLevelType w:val="multilevel"/>
    <w:tmpl w:val="5ECC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817145">
    <w:abstractNumId w:val="3"/>
  </w:num>
  <w:num w:numId="2" w16cid:durableId="1219246687">
    <w:abstractNumId w:val="1"/>
  </w:num>
  <w:num w:numId="3" w16cid:durableId="1445033410">
    <w:abstractNumId w:val="0"/>
  </w:num>
  <w:num w:numId="4" w16cid:durableId="1456875982">
    <w:abstractNumId w:val="5"/>
  </w:num>
  <w:num w:numId="5" w16cid:durableId="754132904">
    <w:abstractNumId w:val="6"/>
  </w:num>
  <w:num w:numId="6" w16cid:durableId="1996835372">
    <w:abstractNumId w:val="4"/>
  </w:num>
  <w:num w:numId="7" w16cid:durableId="1155681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4"/>
    <w:rsid w:val="000628C8"/>
    <w:rsid w:val="001152F4"/>
    <w:rsid w:val="00292AF2"/>
    <w:rsid w:val="002F5930"/>
    <w:rsid w:val="004317F1"/>
    <w:rsid w:val="00547A18"/>
    <w:rsid w:val="007B00A4"/>
    <w:rsid w:val="007C52D7"/>
    <w:rsid w:val="007F066D"/>
    <w:rsid w:val="00836368"/>
    <w:rsid w:val="008A7170"/>
    <w:rsid w:val="00964CBF"/>
    <w:rsid w:val="00A62871"/>
    <w:rsid w:val="00DF1447"/>
    <w:rsid w:val="00EF7EF9"/>
    <w:rsid w:val="00F257F1"/>
    <w:rsid w:val="00F82FCF"/>
    <w:rsid w:val="00FE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579EB"/>
  <w15:chartTrackingRefBased/>
  <w15:docId w15:val="{EE37D729-4FB4-4B8E-9876-CD0C8CF4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0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0A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0A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0A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0A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0A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0A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0A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0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0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0A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0A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B00A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0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0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0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0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0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0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B00A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152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152F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15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15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17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 寡</dc:creator>
  <cp:keywords/>
  <dc:description/>
  <cp:lastModifiedBy>人 寡</cp:lastModifiedBy>
  <cp:revision>3</cp:revision>
  <dcterms:created xsi:type="dcterms:W3CDTF">2025-03-13T14:15:00Z</dcterms:created>
  <dcterms:modified xsi:type="dcterms:W3CDTF">2025-03-13T14:27:00Z</dcterms:modified>
</cp:coreProperties>
</file>