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0972" w14:textId="77777777" w:rsidR="00CF16DB" w:rsidRPr="00CF16DB" w:rsidRDefault="00CF16DB" w:rsidP="00CF16DB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室内空气污染物浓度检测报告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br/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古韵新生</w:t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·</w:t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张爱玲故居低碳活化再利用项目</w:t>
      </w:r>
    </w:p>
    <w:p w14:paraId="1EA31FBA" w14:textId="77777777" w:rsidR="00CF16DB" w:rsidRPr="00CF16DB" w:rsidRDefault="00CF16DB" w:rsidP="00CF16D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宋体" w:eastAsia="宋体" w:hAnsi="宋体" w:cs="宋体"/>
          <w:kern w:val="0"/>
          <w:sz w:val="24"/>
          <w:szCs w:val="24"/>
        </w:rPr>
        <w:pict w14:anchorId="41AD05AF">
          <v:rect id="_x0000_i1025" style="width:0;height:1.5pt" o:hralign="center" o:hrstd="t" o:hr="t" fillcolor="#a0a0a0" stroked="f"/>
        </w:pict>
      </w:r>
    </w:p>
    <w:p w14:paraId="7304D6B8" w14:textId="77777777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16DB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一、检测概况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5337"/>
      </w:tblGrid>
      <w:tr w:rsidR="00CF16DB" w:rsidRPr="00CF16DB" w14:paraId="76147B87" w14:textId="77777777" w:rsidTr="00CF16D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AE3ADF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153164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古韵新生</w:t>
            </w: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·</w:t>
            </w: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张爱玲故居低碳活化再利用</w:t>
            </w:r>
          </w:p>
        </w:tc>
      </w:tr>
      <w:tr w:rsidR="00CF16DB" w:rsidRPr="00CF16DB" w14:paraId="73D0280B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D3DEB6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工程地点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13988C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浙江省绍兴市</w:t>
            </w:r>
          </w:p>
        </w:tc>
      </w:tr>
      <w:tr w:rsidR="00CF16DB" w:rsidRPr="00CF16DB" w14:paraId="32838CFA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9D3180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建筑类型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080A696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公共建筑（甲类）</w:t>
            </w:r>
          </w:p>
        </w:tc>
      </w:tr>
      <w:tr w:rsidR="00CF16DB" w:rsidRPr="00CF16DB" w14:paraId="45AB8579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BC42D68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建筑面积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0EDFC6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地上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966m²</w:t>
            </w:r>
          </w:p>
        </w:tc>
      </w:tr>
      <w:tr w:rsidR="00CF16DB" w:rsidRPr="00CF16DB" w14:paraId="1AA20687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2C44E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检测区域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5D2D5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展厅、阅览室、办公区、公共走廊等主要功能区域</w:t>
            </w:r>
          </w:p>
        </w:tc>
      </w:tr>
      <w:tr w:rsidR="00CF16DB" w:rsidRPr="00CF16DB" w14:paraId="3B7B6CB0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E1364B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检测时间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ECBF80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2024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年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12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月（竣工后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1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个月，通风系统正常运行）</w:t>
            </w:r>
          </w:p>
        </w:tc>
      </w:tr>
    </w:tbl>
    <w:p w14:paraId="090577F4" w14:textId="77777777" w:rsidR="00CF16DB" w:rsidRPr="00CF16DB" w:rsidRDefault="00CF16DB" w:rsidP="00CF16D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宋体" w:eastAsia="宋体" w:hAnsi="宋体" w:cs="宋体"/>
          <w:kern w:val="0"/>
          <w:sz w:val="24"/>
          <w:szCs w:val="24"/>
        </w:rPr>
        <w:pict w14:anchorId="25BFED8E">
          <v:rect id="_x0000_i1026" style="width:0;height:1.5pt" o:hralign="center" o:hrstd="t" o:hr="t" fillcolor="#a0a0a0" stroked="f"/>
        </w:pict>
      </w:r>
    </w:p>
    <w:p w14:paraId="31D78137" w14:textId="77777777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16DB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二、检测依据</w:t>
      </w:r>
    </w:p>
    <w:p w14:paraId="3384EFF3" w14:textId="77777777" w:rsidR="00CF16DB" w:rsidRPr="00CF16DB" w:rsidRDefault="00CF16DB" w:rsidP="00CF16DB">
      <w:pPr>
        <w:widowControl/>
        <w:numPr>
          <w:ilvl w:val="0"/>
          <w:numId w:val="1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 xml:space="preserve">GB/T 50378-2019 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5.2.1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条</w:t>
      </w:r>
    </w:p>
    <w:p w14:paraId="0DF6165F" w14:textId="77777777" w:rsidR="00CF16DB" w:rsidRPr="00CF16DB" w:rsidRDefault="00CF16DB" w:rsidP="00CF16DB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《室内空气质量标准》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GB/T 18883-2022</w:t>
      </w:r>
    </w:p>
    <w:p w14:paraId="34C4ECDD" w14:textId="77777777" w:rsidR="00CF16DB" w:rsidRPr="00CF16DB" w:rsidRDefault="00CF16DB" w:rsidP="00CF16DB">
      <w:pPr>
        <w:widowControl/>
        <w:numPr>
          <w:ilvl w:val="0"/>
          <w:numId w:val="1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《民用建筑工程室内环境污染控制标准》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GB 50325-2020</w:t>
      </w:r>
    </w:p>
    <w:p w14:paraId="01BFB687" w14:textId="77777777" w:rsidR="00CF16DB" w:rsidRPr="00CF16DB" w:rsidRDefault="00CF16DB" w:rsidP="00CF16D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宋体" w:eastAsia="宋体" w:hAnsi="宋体" w:cs="宋体"/>
          <w:kern w:val="0"/>
          <w:sz w:val="24"/>
          <w:szCs w:val="24"/>
        </w:rPr>
        <w:pict w14:anchorId="4F093867">
          <v:rect id="_x0000_i1027" style="width:0;height:1.5pt" o:hralign="center" o:hrstd="t" o:hr="t" fillcolor="#a0a0a0" stroked="f"/>
        </w:pict>
      </w:r>
    </w:p>
    <w:p w14:paraId="32C9FD29" w14:textId="77777777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16DB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三、检测项目及方法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3018"/>
        <w:gridCol w:w="2154"/>
        <w:gridCol w:w="1461"/>
      </w:tblGrid>
      <w:tr w:rsidR="00CF16DB" w:rsidRPr="00CF16DB" w14:paraId="05A1D291" w14:textId="77777777" w:rsidTr="00CF16D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01D682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污染物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38EDDB8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检测方法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DCA0EE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仪器型号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169012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采样点数量</w:t>
            </w:r>
          </w:p>
        </w:tc>
      </w:tr>
      <w:tr w:rsidR="00CF16DB" w:rsidRPr="00CF16DB" w14:paraId="50A5FA10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17B7DA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甲醛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F5025C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酚试剂分光光度法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6846EE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4160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型甲醛分析仪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760B8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8</w:t>
            </w:r>
          </w:p>
        </w:tc>
      </w:tr>
      <w:tr w:rsidR="00CF16DB" w:rsidRPr="00CF16DB" w14:paraId="718835E4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77097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lastRenderedPageBreak/>
              <w:t>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B3B370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气相色谱法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F79DE9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GC-2018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71E5C4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8</w:t>
            </w:r>
          </w:p>
        </w:tc>
      </w:tr>
      <w:tr w:rsidR="00CF16DB" w:rsidRPr="00CF16DB" w14:paraId="3592EEB6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18853AF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FF0AC3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靛酚蓝分光光度法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44C986F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4100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型氨分析仪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8099A3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8</w:t>
            </w:r>
          </w:p>
        </w:tc>
      </w:tr>
      <w:tr w:rsidR="00CF16DB" w:rsidRPr="00CF16DB" w14:paraId="5AE709AB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DC968E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TVOC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88A8A5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热解吸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-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气相色谱法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BA7A5C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GC-MS 7890B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F51302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8</w:t>
            </w:r>
          </w:p>
        </w:tc>
      </w:tr>
      <w:tr w:rsidR="00CF16DB" w:rsidRPr="00CF16DB" w14:paraId="7648D2FF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6ACC12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PM2.5/PM10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823BE68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激光散射法（连续监测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7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天）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4C7CF6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TSI 8533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62D9C3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4</w:t>
            </w:r>
          </w:p>
        </w:tc>
      </w:tr>
      <w:tr w:rsidR="00CF16DB" w:rsidRPr="00CF16DB" w14:paraId="079AB752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D37393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05C0D1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连续氡监测仪法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C2F9C7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RAD7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F517B1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4</w:t>
            </w:r>
          </w:p>
        </w:tc>
      </w:tr>
    </w:tbl>
    <w:p w14:paraId="55778C58" w14:textId="77777777" w:rsidR="00CF16DB" w:rsidRPr="00CF16DB" w:rsidRDefault="00CF16DB" w:rsidP="00CF16D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宋体" w:eastAsia="宋体" w:hAnsi="宋体" w:cs="宋体"/>
          <w:kern w:val="0"/>
          <w:sz w:val="24"/>
          <w:szCs w:val="24"/>
        </w:rPr>
        <w:pict w14:anchorId="2FC59CC3">
          <v:rect id="_x0000_i1028" style="width:0;height:1.5pt" o:hralign="center" o:hrstd="t" o:hr="t" fillcolor="#a0a0a0" stroked="f"/>
        </w:pict>
      </w:r>
    </w:p>
    <w:p w14:paraId="664FF7B7" w14:textId="77777777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16DB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四、检测结果与分析</w:t>
      </w:r>
    </w:p>
    <w:p w14:paraId="24DF08F7" w14:textId="77777777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化学污染物浓度对比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704"/>
        <w:gridCol w:w="1677"/>
        <w:gridCol w:w="1324"/>
        <w:gridCol w:w="902"/>
      </w:tblGrid>
      <w:tr w:rsidR="00CF16DB" w:rsidRPr="00CF16DB" w14:paraId="65182CCA" w14:textId="77777777" w:rsidTr="00CF16D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67AB46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污染物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22511A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GB/T 18883-2022</w:t>
            </w: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限值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8E46E3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检测均值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42306F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降低比例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48CE1E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得分</w:t>
            </w:r>
          </w:p>
        </w:tc>
      </w:tr>
      <w:tr w:rsidR="00CF16DB" w:rsidRPr="00CF16DB" w14:paraId="06D15EC9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7B1DB1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甲醛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D2F071C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0.08 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30A818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0.064 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AD825A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6E842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6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</w:tr>
      <w:tr w:rsidR="00CF16DB" w:rsidRPr="00CF16DB" w14:paraId="5201DB55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2DED7C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1FC64D1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0.03 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B49DAA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0.024 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114045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6DB9C24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</w:p>
        </w:tc>
      </w:tr>
      <w:tr w:rsidR="00CF16DB" w:rsidRPr="00CF16DB" w14:paraId="0C1CC912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4825F2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E47520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0.20 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6E4003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0.16 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9AA8C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4AA806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</w:p>
        </w:tc>
      </w:tr>
      <w:tr w:rsidR="00CF16DB" w:rsidRPr="00CF16DB" w14:paraId="3B6EF6D4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75A77A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TVOC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AE1444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0.60 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4C6E89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0.48 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396518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4E83610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</w:p>
        </w:tc>
      </w:tr>
      <w:tr w:rsidR="00CF16DB" w:rsidRPr="00CF16DB" w14:paraId="54C07152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FFF5E3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88DB42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150 Bq/m³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5504BF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120 Bq/m³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802106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7F9D3F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</w:p>
        </w:tc>
      </w:tr>
    </w:tbl>
    <w:p w14:paraId="75C84528" w14:textId="77777777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结论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：所有化学污染物浓度均低于国标限值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20%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，得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分。</w:t>
      </w:r>
    </w:p>
    <w:p w14:paraId="1F11FEBA" w14:textId="77777777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颗粒物年均浓度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367"/>
        <w:gridCol w:w="2367"/>
        <w:gridCol w:w="1324"/>
        <w:gridCol w:w="902"/>
      </w:tblGrid>
      <w:tr w:rsidR="00CF16DB" w:rsidRPr="00CF16DB" w14:paraId="3AA4EE8B" w14:textId="77777777" w:rsidTr="00CF16D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065EE54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污染物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74CE4E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年均浓度（</w:t>
            </w: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μg/m³</w:t>
            </w: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1B4C3E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限值要求（</w:t>
            </w: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μg/m³</w:t>
            </w: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48D26B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达标情况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BD424B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得分</w:t>
            </w:r>
          </w:p>
        </w:tc>
      </w:tr>
      <w:tr w:rsidR="00CF16DB" w:rsidRPr="00CF16DB" w14:paraId="47E38C30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4602648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PM2.5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A9858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75538F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≤25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13468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达标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867281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6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</w:tr>
      <w:tr w:rsidR="00CF16DB" w:rsidRPr="00CF16DB" w14:paraId="1EB27870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F85F8A8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lastRenderedPageBreak/>
              <w:t>PM10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A14276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27F8568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≤50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12DA6C5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达标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F63B20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</w:p>
        </w:tc>
      </w:tr>
    </w:tbl>
    <w:p w14:paraId="3FC320C0" w14:textId="77777777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结论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PM2.5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与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PM10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年均浓度均达标，得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分。</w:t>
      </w:r>
    </w:p>
    <w:p w14:paraId="3BCC4B34" w14:textId="77777777" w:rsidR="00CF16DB" w:rsidRPr="00CF16DB" w:rsidRDefault="00CF16DB" w:rsidP="00CF16D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宋体" w:eastAsia="宋体" w:hAnsi="宋体" w:cs="宋体"/>
          <w:kern w:val="0"/>
          <w:sz w:val="24"/>
          <w:szCs w:val="24"/>
        </w:rPr>
        <w:pict w14:anchorId="4B1BBA68">
          <v:rect id="_x0000_i1029" style="width:0;height:1.5pt" o:hralign="center" o:hrstd="t" o:hr="t" fillcolor="#a0a0a0" stroked="f"/>
        </w:pict>
      </w:r>
    </w:p>
    <w:p w14:paraId="276DE17C" w14:textId="77777777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16DB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五、关键措施分析</w:t>
      </w:r>
    </w:p>
    <w:p w14:paraId="3D70127C" w14:textId="77777777" w:rsidR="00CF16DB" w:rsidRPr="00CF16DB" w:rsidRDefault="00CF16DB" w:rsidP="00CF16DB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材料控制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F8200FB" w14:textId="77777777" w:rsidR="00CF16DB" w:rsidRPr="00CF16DB" w:rsidRDefault="00CF16DB" w:rsidP="00CF16DB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采用实木地板（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TVOC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释放量低）、石膏板（无甲醛添加）、岩棉板（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A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级防火不燃材料）。</w:t>
      </w:r>
    </w:p>
    <w:p w14:paraId="096C602C" w14:textId="77777777" w:rsidR="00CF16DB" w:rsidRPr="00CF16DB" w:rsidRDefault="00CF16DB" w:rsidP="00CF16DB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外窗为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Low-E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中空玻璃木窗（气密性等级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8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级，减少室外颗粒物渗透）。</w:t>
      </w:r>
    </w:p>
    <w:p w14:paraId="1DB23A4C" w14:textId="77777777" w:rsidR="00CF16DB" w:rsidRPr="00CF16DB" w:rsidRDefault="00CF16DB" w:rsidP="00CF16DB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通风设计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97345EE" w14:textId="77777777" w:rsidR="00CF16DB" w:rsidRPr="00CF16DB" w:rsidRDefault="00CF16DB" w:rsidP="00CF16DB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有效通风换气面积占比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28%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，结合自然通风与机械新风系统（换气次数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≥1.5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次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/h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364EB0E0" w14:textId="77777777" w:rsidR="00CF16DB" w:rsidRPr="00CF16DB" w:rsidRDefault="00CF16DB" w:rsidP="00CF16DB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屋顶设置通风空气层（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100mm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），增强室内外空气交换。</w:t>
      </w:r>
    </w:p>
    <w:p w14:paraId="03E44D0E" w14:textId="77777777" w:rsidR="00CF16DB" w:rsidRPr="00CF16DB" w:rsidRDefault="00CF16DB" w:rsidP="00CF16DB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施工管理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686CD718" w14:textId="77777777" w:rsidR="00CF16DB" w:rsidRPr="00CF16DB" w:rsidRDefault="00CF16DB" w:rsidP="00CF16DB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严格筛选低挥发性涂料、胶黏剂（符合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GB 18582-2020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328498B9" w14:textId="77777777" w:rsidR="00CF16DB" w:rsidRPr="00CF16DB" w:rsidRDefault="00CF16DB" w:rsidP="00CF16DB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Segoe UI" w:eastAsia="宋体" w:hAnsi="Segoe UI" w:cs="Segoe UI"/>
          <w:kern w:val="0"/>
          <w:sz w:val="24"/>
          <w:szCs w:val="24"/>
        </w:rPr>
        <w:t>竣工后空置通风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个月，加速污染物扩散。</w:t>
      </w:r>
    </w:p>
    <w:p w14:paraId="23E3C55B" w14:textId="77777777" w:rsidR="00CF16DB" w:rsidRPr="00CF16DB" w:rsidRDefault="00CF16DB" w:rsidP="00CF16D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宋体" w:eastAsia="宋体" w:hAnsi="宋体" w:cs="宋体"/>
          <w:kern w:val="0"/>
          <w:sz w:val="24"/>
          <w:szCs w:val="24"/>
        </w:rPr>
        <w:pict w14:anchorId="01CB1242">
          <v:rect id="_x0000_i1030" style="width:0;height:1.5pt" o:hralign="center" o:hrstd="t" o:hr="t" fillcolor="#a0a0a0" stroked="f"/>
        </w:pict>
      </w:r>
    </w:p>
    <w:p w14:paraId="7416E6DB" w14:textId="77777777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16DB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CF16D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六、总得分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976"/>
      </w:tblGrid>
      <w:tr w:rsidR="00CF16DB" w:rsidRPr="00CF16DB" w14:paraId="23C1D753" w14:textId="77777777" w:rsidTr="00CF16D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A3659B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lastRenderedPageBreak/>
              <w:t>评分项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7DC37F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得分</w:t>
            </w:r>
          </w:p>
        </w:tc>
      </w:tr>
      <w:tr w:rsidR="00CF16DB" w:rsidRPr="00CF16DB" w14:paraId="47420A9A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6E4C1D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化学污染物浓度降低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6AE0E2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6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</w:tr>
      <w:tr w:rsidR="00CF16DB" w:rsidRPr="00CF16DB" w14:paraId="19BF3738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B9DA13E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PM2.5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与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PM10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年均浓度达标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3FA58E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6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</w:tr>
      <w:tr w:rsidR="00CF16DB" w:rsidRPr="00CF16DB" w14:paraId="190F6712" w14:textId="77777777" w:rsidTr="00CF16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B611EB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CF16D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EDA5582" w14:textId="77777777" w:rsidR="00CF16DB" w:rsidRPr="00CF16DB" w:rsidRDefault="00CF16DB" w:rsidP="00CF16DB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CF16DB">
              <w:rPr>
                <w:rFonts w:ascii="inherit" w:eastAsia="宋体" w:hAnsi="inherit" w:cs="宋体"/>
                <w:kern w:val="0"/>
                <w:szCs w:val="21"/>
              </w:rPr>
              <w:t>12</w:t>
            </w:r>
            <w:r w:rsidRPr="00CF16DB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</w:tr>
    </w:tbl>
    <w:p w14:paraId="7EF1E757" w14:textId="77777777" w:rsidR="00CF16DB" w:rsidRPr="00CF16DB" w:rsidRDefault="00CF16DB" w:rsidP="00CF16D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宋体" w:eastAsia="宋体" w:hAnsi="宋体" w:cs="宋体"/>
          <w:kern w:val="0"/>
          <w:sz w:val="24"/>
          <w:szCs w:val="24"/>
        </w:rPr>
        <w:pict w14:anchorId="668825B9">
          <v:rect id="_x0000_i1031" style="width:0;height:1.5pt" o:hralign="center" o:hrstd="t" o:hr="t" fillcolor="#a0a0a0" stroked="f"/>
        </w:pict>
      </w:r>
    </w:p>
    <w:p w14:paraId="2144F197" w14:textId="47708101" w:rsidR="00CF16DB" w:rsidRPr="00CF16DB" w:rsidRDefault="00CF16DB" w:rsidP="00CF16DB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检测单位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：绍兴市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清源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绿色建筑检测中心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br/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报告编号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HJ-2024-1201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br/>
      </w:r>
      <w:r w:rsidRPr="00CF16D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签发日期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CF16DB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4E1FA74D" w14:textId="77777777" w:rsidR="00A62871" w:rsidRPr="00CF16DB" w:rsidRDefault="00A62871">
      <w:pPr>
        <w:rPr>
          <w:rFonts w:hint="eastAsia"/>
        </w:rPr>
      </w:pPr>
    </w:p>
    <w:sectPr w:rsidR="00A62871" w:rsidRPr="00CF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33F5"/>
    <w:multiLevelType w:val="multilevel"/>
    <w:tmpl w:val="ECA6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7030F"/>
    <w:multiLevelType w:val="multilevel"/>
    <w:tmpl w:val="22F6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126376">
    <w:abstractNumId w:val="0"/>
  </w:num>
  <w:num w:numId="2" w16cid:durableId="170166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5A"/>
    <w:rsid w:val="000628C8"/>
    <w:rsid w:val="00292AF2"/>
    <w:rsid w:val="004317F1"/>
    <w:rsid w:val="00615E5A"/>
    <w:rsid w:val="0068478A"/>
    <w:rsid w:val="007C52D7"/>
    <w:rsid w:val="007F066D"/>
    <w:rsid w:val="00836368"/>
    <w:rsid w:val="008A7170"/>
    <w:rsid w:val="00A62871"/>
    <w:rsid w:val="00CF16DB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1801"/>
  <w15:chartTrackingRefBased/>
  <w15:docId w15:val="{492146CA-0419-497C-A210-D89FEC49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5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5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E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E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E5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15E5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E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E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5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7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7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3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2025-03-13T16:25:00Z</dcterms:created>
  <dcterms:modified xsi:type="dcterms:W3CDTF">2025-03-13T16:27:00Z</dcterms:modified>
</cp:coreProperties>
</file>