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7E82" w14:textId="77777777" w:rsidR="00387C5A" w:rsidRPr="00387C5A" w:rsidRDefault="00387C5A" w:rsidP="00387C5A">
      <w:pPr>
        <w:widowControl/>
        <w:spacing w:after="100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387C5A">
        <w:rPr>
          <w:rFonts w:ascii="inherit" w:eastAsia="宋体" w:hAnsi="inherit" w:cs="宋体"/>
          <w:b/>
          <w:bCs/>
          <w:kern w:val="0"/>
          <w:sz w:val="27"/>
          <w:szCs w:val="27"/>
        </w:rPr>
        <w:t>工业化内装部品用量比例计算书</w:t>
      </w:r>
    </w:p>
    <w:p w14:paraId="0FE815E6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1C726547">
          <v:rect id="_x0000_i1025" style="width:0;height:1.5pt" o:hralign="center" o:hrstd="t" o:hr="t" fillcolor="#a0a0a0" stroked="f"/>
        </w:pict>
      </w:r>
    </w:p>
    <w:p w14:paraId="559CD5C5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</w:rPr>
        <w:t>一、项目概况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5356"/>
      </w:tblGrid>
      <w:tr w:rsidR="00387C5A" w:rsidRPr="00387C5A" w14:paraId="38FC3231" w14:textId="77777777" w:rsidTr="00387C5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C1CFC3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4C6CF1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古韵新生</w:t>
            </w: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——</w:t>
            </w: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张爱玲故居的低碳活化再利用</w:t>
            </w:r>
          </w:p>
        </w:tc>
      </w:tr>
      <w:tr w:rsidR="00387C5A" w:rsidRPr="00387C5A" w14:paraId="51E7594F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1E5712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工程地点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CFF1C24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浙江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-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绍兴</w:t>
            </w:r>
          </w:p>
        </w:tc>
      </w:tr>
      <w:tr w:rsidR="00387C5A" w:rsidRPr="00387C5A" w14:paraId="57DD4A8A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5A0970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建筑面积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28CA15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地上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966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㎡，地下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0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㎡</w:t>
            </w:r>
          </w:p>
        </w:tc>
      </w:tr>
      <w:tr w:rsidR="00387C5A" w:rsidRPr="00387C5A" w14:paraId="065604E7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8171D6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结构类型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F9198E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空斗墙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+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内保温体系</w:t>
            </w:r>
          </w:p>
        </w:tc>
      </w:tr>
      <w:tr w:rsidR="00387C5A" w:rsidRPr="00387C5A" w14:paraId="442D5DB3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06BAC1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计算依据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3757B9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《绿色建筑评价标准》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GB/T 50378-2019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第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7.2.16</w:t>
            </w:r>
            <w:r w:rsidRPr="00387C5A">
              <w:rPr>
                <w:rFonts w:ascii="inherit" w:eastAsia="宋体" w:hAnsi="inherit" w:cs="宋体"/>
                <w:kern w:val="0"/>
                <w:szCs w:val="21"/>
              </w:rPr>
              <w:t>条</w:t>
            </w:r>
          </w:p>
        </w:tc>
      </w:tr>
    </w:tbl>
    <w:p w14:paraId="1B7081DC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6BA40857">
          <v:rect id="_x0000_i1026" style="width:0;height:1.5pt" o:hralign="center" o:hrstd="t" o:hr="t" fillcolor="#a0a0a0" stroked="f"/>
        </w:pict>
      </w:r>
    </w:p>
    <w:p w14:paraId="463282A1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</w:rPr>
        <w:t>二、工业化内装部品清单及比例分析</w:t>
      </w:r>
    </w:p>
    <w:p w14:paraId="1ACA2CB0" w14:textId="77777777" w:rsidR="00387C5A" w:rsidRPr="00387C5A" w:rsidRDefault="00387C5A" w:rsidP="00387C5A">
      <w:pPr>
        <w:widowControl/>
        <w:spacing w:beforeAutospacing="1" w:afterAutospacing="1"/>
        <w:jc w:val="left"/>
        <w:textAlignment w:val="baseline"/>
        <w:outlineLvl w:val="4"/>
        <w:rPr>
          <w:rFonts w:ascii="inherit" w:eastAsia="宋体" w:hAnsi="inherit" w:cs="宋体"/>
          <w:b/>
          <w:bCs/>
          <w:kern w:val="0"/>
          <w:sz w:val="20"/>
          <w:szCs w:val="20"/>
        </w:rPr>
      </w:pPr>
      <w:r w:rsidRPr="00387C5A">
        <w:rPr>
          <w:rFonts w:ascii="inherit" w:eastAsia="宋体" w:hAnsi="inherit" w:cs="宋体"/>
          <w:b/>
          <w:bCs/>
          <w:kern w:val="0"/>
          <w:sz w:val="20"/>
          <w:szCs w:val="20"/>
        </w:rPr>
        <w:t>1. ​</w:t>
      </w:r>
      <w:r w:rsidRPr="00387C5A">
        <w:rPr>
          <w:rFonts w:ascii="inherit" w:eastAsia="宋体" w:hAnsi="inherit" w:cs="宋体"/>
          <w:b/>
          <w:bCs/>
          <w:kern w:val="0"/>
          <w:sz w:val="20"/>
          <w:szCs w:val="20"/>
          <w:bdr w:val="none" w:sz="0" w:space="0" w:color="auto" w:frame="1"/>
        </w:rPr>
        <w:t>内墙饰面系统</w:t>
      </w:r>
    </w:p>
    <w:p w14:paraId="59211961" w14:textId="77777777" w:rsidR="00387C5A" w:rsidRPr="00387C5A" w:rsidRDefault="00387C5A" w:rsidP="00387C5A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部品名称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：预制石膏板（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12mm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65D775FA" w14:textId="77777777" w:rsidR="00387C5A" w:rsidRPr="00387C5A" w:rsidRDefault="00387C5A" w:rsidP="00387C5A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应用部位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：外墙内保温构造（由外到内：石灰水泥砂浆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空斗墙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真空绝热板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通风层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石膏板）</w:t>
      </w:r>
    </w:p>
    <w:p w14:paraId="15D5EC90" w14:textId="77777777" w:rsidR="00387C5A" w:rsidRPr="00387C5A" w:rsidRDefault="00387C5A" w:rsidP="00387C5A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同类部品总量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：全部内墙饰面</w:t>
      </w:r>
    </w:p>
    <w:p w14:paraId="4AE103A3" w14:textId="77777777" w:rsidR="00387C5A" w:rsidRPr="00387C5A" w:rsidRDefault="00387C5A" w:rsidP="00387C5A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工业化部品用量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（全项目内墙均采用预制石膏板）</w:t>
      </w:r>
    </w:p>
    <w:p w14:paraId="35556E50" w14:textId="77777777" w:rsidR="00387C5A" w:rsidRPr="00387C5A" w:rsidRDefault="00387C5A" w:rsidP="00387C5A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比例计算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br/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总内墙面积预制石膏板面积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100%100%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=100%&gt;50%</w:t>
      </w:r>
    </w:p>
    <w:p w14:paraId="2975D4B2" w14:textId="77777777" w:rsidR="00387C5A" w:rsidRPr="00387C5A" w:rsidRDefault="00387C5A" w:rsidP="00387C5A">
      <w:pPr>
        <w:widowControl/>
        <w:spacing w:beforeAutospacing="1" w:afterAutospacing="1"/>
        <w:jc w:val="left"/>
        <w:textAlignment w:val="baseline"/>
        <w:outlineLvl w:val="4"/>
        <w:rPr>
          <w:rFonts w:ascii="inherit" w:eastAsia="宋体" w:hAnsi="inherit" w:cs="宋体"/>
          <w:b/>
          <w:bCs/>
          <w:kern w:val="0"/>
          <w:sz w:val="20"/>
          <w:szCs w:val="20"/>
        </w:rPr>
      </w:pPr>
      <w:r w:rsidRPr="00387C5A">
        <w:rPr>
          <w:rFonts w:ascii="inherit" w:eastAsia="宋体" w:hAnsi="inherit" w:cs="宋体"/>
          <w:b/>
          <w:bCs/>
          <w:kern w:val="0"/>
          <w:sz w:val="20"/>
          <w:szCs w:val="20"/>
        </w:rPr>
        <w:t>2. ​</w:t>
      </w:r>
      <w:r w:rsidRPr="00387C5A">
        <w:rPr>
          <w:rFonts w:ascii="inherit" w:eastAsia="宋体" w:hAnsi="inherit" w:cs="宋体"/>
          <w:b/>
          <w:bCs/>
          <w:kern w:val="0"/>
          <w:sz w:val="20"/>
          <w:szCs w:val="20"/>
          <w:bdr w:val="none" w:sz="0" w:space="0" w:color="auto" w:frame="1"/>
        </w:rPr>
        <w:t>保温隔热系统</w:t>
      </w:r>
    </w:p>
    <w:p w14:paraId="286D7E24" w14:textId="77777777" w:rsidR="00387C5A" w:rsidRPr="00387C5A" w:rsidRDefault="00387C5A" w:rsidP="00387C5A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部品名称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：真空绝热板（</w:t>
      </w:r>
      <w:proofErr w:type="spellStart"/>
      <w:r w:rsidRPr="00387C5A">
        <w:rPr>
          <w:rFonts w:ascii="inherit" w:eastAsia="宋体" w:hAnsi="inherit" w:cs="宋体"/>
          <w:kern w:val="0"/>
          <w:sz w:val="24"/>
          <w:szCs w:val="24"/>
        </w:rPr>
        <w:t>i</w:t>
      </w:r>
      <w:proofErr w:type="spellEnd"/>
      <w:r w:rsidRPr="00387C5A">
        <w:rPr>
          <w:rFonts w:ascii="inherit" w:eastAsia="宋体" w:hAnsi="inherit" w:cs="宋体"/>
          <w:kern w:val="0"/>
          <w:sz w:val="24"/>
          <w:szCs w:val="24"/>
        </w:rPr>
        <w:t>型，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20mm/30mm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0B8CFDE1" w14:textId="77777777" w:rsidR="00387C5A" w:rsidRPr="00387C5A" w:rsidRDefault="00387C5A" w:rsidP="00387C5A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应用部位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3AF44933" w14:textId="77777777" w:rsidR="00387C5A" w:rsidRPr="00387C5A" w:rsidRDefault="00387C5A" w:rsidP="00387C5A">
      <w:pPr>
        <w:widowControl/>
        <w:numPr>
          <w:ilvl w:val="1"/>
          <w:numId w:val="2"/>
        </w:numPr>
        <w:spacing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外墙内保温（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20mm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真空绝热板）</w:t>
      </w:r>
    </w:p>
    <w:p w14:paraId="48A906AA" w14:textId="77777777" w:rsidR="00387C5A" w:rsidRPr="00387C5A" w:rsidRDefault="00387C5A" w:rsidP="00387C5A">
      <w:pPr>
        <w:widowControl/>
        <w:numPr>
          <w:ilvl w:val="1"/>
          <w:numId w:val="2"/>
        </w:numPr>
        <w:spacing w:before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屋顶构造（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30mm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真空绝热板）</w:t>
      </w:r>
    </w:p>
    <w:p w14:paraId="17717922" w14:textId="77777777" w:rsidR="00387C5A" w:rsidRPr="00387C5A" w:rsidRDefault="00387C5A" w:rsidP="00387C5A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同类部品总量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：全项目保温层</w:t>
      </w:r>
    </w:p>
    <w:p w14:paraId="7740CADD" w14:textId="77777777" w:rsidR="00387C5A" w:rsidRPr="00387C5A" w:rsidRDefault="00387C5A" w:rsidP="00387C5A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工业化部品用量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0BB3855C" w14:textId="77777777" w:rsidR="00387C5A" w:rsidRPr="00387C5A" w:rsidRDefault="00387C5A" w:rsidP="00387C5A">
      <w:pPr>
        <w:widowControl/>
        <w:numPr>
          <w:ilvl w:val="1"/>
          <w:numId w:val="2"/>
        </w:numPr>
        <w:spacing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外墙保温面积：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</w:p>
    <w:p w14:paraId="010FE4AE" w14:textId="77777777" w:rsidR="00387C5A" w:rsidRPr="00387C5A" w:rsidRDefault="00387C5A" w:rsidP="00387C5A">
      <w:pPr>
        <w:widowControl/>
        <w:numPr>
          <w:ilvl w:val="1"/>
          <w:numId w:val="2"/>
        </w:numPr>
        <w:spacing w:before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屋顶保温面积：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</w:p>
    <w:p w14:paraId="59C49AE9" w14:textId="77777777" w:rsidR="00387C5A" w:rsidRPr="00387C5A" w:rsidRDefault="00387C5A" w:rsidP="00387C5A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lastRenderedPageBreak/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比例计算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br/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总保温面积真空绝热板面积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100%100%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=100%&gt;50%</w:t>
      </w:r>
    </w:p>
    <w:p w14:paraId="6677C338" w14:textId="77777777" w:rsidR="00387C5A" w:rsidRPr="00387C5A" w:rsidRDefault="00387C5A" w:rsidP="00387C5A">
      <w:pPr>
        <w:widowControl/>
        <w:spacing w:beforeAutospacing="1" w:afterAutospacing="1"/>
        <w:jc w:val="left"/>
        <w:textAlignment w:val="baseline"/>
        <w:outlineLvl w:val="4"/>
        <w:rPr>
          <w:rFonts w:ascii="inherit" w:eastAsia="宋体" w:hAnsi="inherit" w:cs="宋体"/>
          <w:b/>
          <w:bCs/>
          <w:kern w:val="0"/>
          <w:sz w:val="20"/>
          <w:szCs w:val="20"/>
        </w:rPr>
      </w:pPr>
      <w:r w:rsidRPr="00387C5A">
        <w:rPr>
          <w:rFonts w:ascii="inherit" w:eastAsia="宋体" w:hAnsi="inherit" w:cs="宋体"/>
          <w:b/>
          <w:bCs/>
          <w:kern w:val="0"/>
          <w:sz w:val="20"/>
          <w:szCs w:val="20"/>
        </w:rPr>
        <w:t>3. ​</w:t>
      </w:r>
      <w:r w:rsidRPr="00387C5A">
        <w:rPr>
          <w:rFonts w:ascii="inherit" w:eastAsia="宋体" w:hAnsi="inherit" w:cs="宋体"/>
          <w:b/>
          <w:bCs/>
          <w:kern w:val="0"/>
          <w:sz w:val="20"/>
          <w:szCs w:val="20"/>
          <w:bdr w:val="none" w:sz="0" w:space="0" w:color="auto" w:frame="1"/>
        </w:rPr>
        <w:t>楼板隔声系统</w:t>
      </w:r>
    </w:p>
    <w:p w14:paraId="1B893A33" w14:textId="77777777" w:rsidR="00387C5A" w:rsidRPr="00387C5A" w:rsidRDefault="00387C5A" w:rsidP="00387C5A">
      <w:pPr>
        <w:widowControl/>
        <w:numPr>
          <w:ilvl w:val="0"/>
          <w:numId w:val="3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部品名称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：玻璃棉板（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65mm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）、实木地板（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15mm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7A8A7DDB" w14:textId="77777777" w:rsidR="00387C5A" w:rsidRPr="00387C5A" w:rsidRDefault="00387C5A" w:rsidP="00387C5A">
      <w:pPr>
        <w:widowControl/>
        <w:numPr>
          <w:ilvl w:val="0"/>
          <w:numId w:val="3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应用部位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proofErr w:type="gramStart"/>
      <w:r w:rsidRPr="00387C5A">
        <w:rPr>
          <w:rFonts w:ascii="inherit" w:eastAsia="宋体" w:hAnsi="inherit" w:cs="宋体"/>
          <w:kern w:val="0"/>
          <w:sz w:val="24"/>
          <w:szCs w:val="24"/>
        </w:rPr>
        <w:t>挑空楼板</w:t>
      </w:r>
      <w:proofErr w:type="gramEnd"/>
      <w:r w:rsidRPr="00387C5A">
        <w:rPr>
          <w:rFonts w:ascii="inherit" w:eastAsia="宋体" w:hAnsi="inherit" w:cs="宋体"/>
          <w:kern w:val="0"/>
          <w:sz w:val="24"/>
          <w:szCs w:val="24"/>
        </w:rPr>
        <w:t>构造（由上到下：实木地板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玻璃棉板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松木基层）</w:t>
      </w:r>
    </w:p>
    <w:p w14:paraId="2E0B37C4" w14:textId="77777777" w:rsidR="00387C5A" w:rsidRPr="00387C5A" w:rsidRDefault="00387C5A" w:rsidP="00387C5A">
      <w:pPr>
        <w:widowControl/>
        <w:numPr>
          <w:ilvl w:val="0"/>
          <w:numId w:val="3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同类部品总量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：全项目楼板饰面及隔声层</w:t>
      </w:r>
    </w:p>
    <w:p w14:paraId="7F6721C2" w14:textId="77777777" w:rsidR="00387C5A" w:rsidRPr="00387C5A" w:rsidRDefault="00387C5A" w:rsidP="00387C5A">
      <w:pPr>
        <w:widowControl/>
        <w:numPr>
          <w:ilvl w:val="0"/>
          <w:numId w:val="3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工业化部品用量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3286FB39" w14:textId="77777777" w:rsidR="00387C5A" w:rsidRPr="00387C5A" w:rsidRDefault="00387C5A" w:rsidP="00387C5A">
      <w:pPr>
        <w:widowControl/>
        <w:numPr>
          <w:ilvl w:val="1"/>
          <w:numId w:val="3"/>
        </w:numPr>
        <w:spacing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楼板饰面：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采用预制实木地板</w:t>
      </w:r>
    </w:p>
    <w:p w14:paraId="7F609B56" w14:textId="77777777" w:rsidR="00387C5A" w:rsidRPr="00387C5A" w:rsidRDefault="00387C5A" w:rsidP="00387C5A">
      <w:pPr>
        <w:widowControl/>
        <w:numPr>
          <w:ilvl w:val="1"/>
          <w:numId w:val="3"/>
        </w:numPr>
        <w:spacing w:before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隔声层：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采用预制玻璃棉板</w:t>
      </w:r>
    </w:p>
    <w:p w14:paraId="38342615" w14:textId="77777777" w:rsidR="00387C5A" w:rsidRPr="00387C5A" w:rsidRDefault="00387C5A" w:rsidP="00387C5A">
      <w:pPr>
        <w:widowControl/>
        <w:numPr>
          <w:ilvl w:val="0"/>
          <w:numId w:val="3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比例计算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br/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总楼板面积工业化部品用量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100%100%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=100%&gt;50%</w:t>
      </w:r>
    </w:p>
    <w:p w14:paraId="43A5C693" w14:textId="77777777" w:rsidR="00387C5A" w:rsidRPr="00387C5A" w:rsidRDefault="00387C5A" w:rsidP="00387C5A">
      <w:pPr>
        <w:widowControl/>
        <w:spacing w:beforeAutospacing="1" w:afterAutospacing="1"/>
        <w:jc w:val="left"/>
        <w:textAlignment w:val="baseline"/>
        <w:outlineLvl w:val="4"/>
        <w:rPr>
          <w:rFonts w:ascii="inherit" w:eastAsia="宋体" w:hAnsi="inherit" w:cs="宋体"/>
          <w:b/>
          <w:bCs/>
          <w:kern w:val="0"/>
          <w:sz w:val="20"/>
          <w:szCs w:val="20"/>
        </w:rPr>
      </w:pPr>
      <w:r w:rsidRPr="00387C5A">
        <w:rPr>
          <w:rFonts w:ascii="inherit" w:eastAsia="宋体" w:hAnsi="inherit" w:cs="宋体"/>
          <w:b/>
          <w:bCs/>
          <w:kern w:val="0"/>
          <w:sz w:val="20"/>
          <w:szCs w:val="20"/>
        </w:rPr>
        <w:t>4. ​</w:t>
      </w:r>
      <w:r w:rsidRPr="00387C5A">
        <w:rPr>
          <w:rFonts w:ascii="inherit" w:eastAsia="宋体" w:hAnsi="inherit" w:cs="宋体"/>
          <w:b/>
          <w:bCs/>
          <w:kern w:val="0"/>
          <w:sz w:val="20"/>
          <w:szCs w:val="20"/>
          <w:bdr w:val="none" w:sz="0" w:space="0" w:color="auto" w:frame="1"/>
        </w:rPr>
        <w:t>防水系统</w:t>
      </w:r>
    </w:p>
    <w:p w14:paraId="49BFD22A" w14:textId="77777777" w:rsidR="00387C5A" w:rsidRPr="00387C5A" w:rsidRDefault="00387C5A" w:rsidP="00387C5A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部品名称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：高分子卷材防水层（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2mm×2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层）</w:t>
      </w:r>
    </w:p>
    <w:p w14:paraId="5EEE6A26" w14:textId="77777777" w:rsidR="00387C5A" w:rsidRPr="00387C5A" w:rsidRDefault="00387C5A" w:rsidP="00387C5A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应用部位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：屋顶防水构造（高分子卷材防水层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通风层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+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真空绝热板）</w:t>
      </w:r>
    </w:p>
    <w:p w14:paraId="7B6B2C49" w14:textId="77777777" w:rsidR="00387C5A" w:rsidRPr="00387C5A" w:rsidRDefault="00387C5A" w:rsidP="00387C5A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同类部品总量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：全项目防水层</w:t>
      </w:r>
    </w:p>
    <w:p w14:paraId="598EEFB8" w14:textId="77777777" w:rsidR="00387C5A" w:rsidRPr="00387C5A" w:rsidRDefault="00387C5A" w:rsidP="00387C5A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工业化部品用量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100%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（工厂预制成卷材，现场铺设）</w:t>
      </w:r>
    </w:p>
    <w:p w14:paraId="5B8F41C8" w14:textId="77777777" w:rsidR="00387C5A" w:rsidRPr="00387C5A" w:rsidRDefault="00387C5A" w:rsidP="00387C5A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比例计算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br/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总防水面积预制卷材面积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387C5A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100%100%</w:t>
      </w:r>
      <w:r w:rsidRPr="00387C5A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387C5A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=100%&gt;50%</w:t>
      </w:r>
    </w:p>
    <w:p w14:paraId="21DB6AA1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0EE0F09D">
          <v:rect id="_x0000_i1027" style="width:0;height:1.5pt" o:hralign="center" o:hrstd="t" o:hr="t" fillcolor="#a0a0a0" stroked="f"/>
        </w:pict>
      </w:r>
    </w:p>
    <w:p w14:paraId="79965536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</w:rPr>
        <w:t>三、达标情况统计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370"/>
        <w:gridCol w:w="1016"/>
        <w:gridCol w:w="2323"/>
      </w:tblGrid>
      <w:tr w:rsidR="00387C5A" w:rsidRPr="00387C5A" w14:paraId="2594116D" w14:textId="77777777" w:rsidTr="00387C5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74FF7B3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proofErr w:type="gramStart"/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部品种</w:t>
            </w:r>
            <w:proofErr w:type="gramEnd"/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DE43E6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工业化部品名称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DFBF65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BE74D0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是否达标（</w:t>
            </w: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≥50%</w:t>
            </w:r>
            <w:r w:rsidRPr="00387C5A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387C5A" w:rsidRPr="00387C5A" w14:paraId="3281975F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C6D4F7A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内墙饰面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8EC83C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预制石膏板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A47DEA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7F44DC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Segoe UI Emoji" w:eastAsia="宋体" w:hAnsi="Segoe UI Emoji" w:cs="Segoe UI Emoji"/>
                <w:kern w:val="0"/>
                <w:szCs w:val="21"/>
              </w:rPr>
              <w:t>✔️</w:t>
            </w:r>
          </w:p>
        </w:tc>
      </w:tr>
      <w:tr w:rsidR="00387C5A" w:rsidRPr="00387C5A" w14:paraId="20EC497E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98DD1F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保温隔热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67BE48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真空绝热板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FBD00E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69ABAF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Segoe UI Emoji" w:eastAsia="宋体" w:hAnsi="Segoe UI Emoji" w:cs="Segoe UI Emoji"/>
                <w:kern w:val="0"/>
                <w:szCs w:val="21"/>
              </w:rPr>
              <w:t>✔️</w:t>
            </w:r>
          </w:p>
        </w:tc>
      </w:tr>
      <w:tr w:rsidR="00387C5A" w:rsidRPr="00387C5A" w14:paraId="1CC4AFA3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CC366D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楼板系统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C50AA4B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玻璃棉板、实木地板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A1F003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818B2A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Segoe UI Emoji" w:eastAsia="宋体" w:hAnsi="Segoe UI Emoji" w:cs="Segoe UI Emoji"/>
                <w:kern w:val="0"/>
                <w:szCs w:val="21"/>
              </w:rPr>
              <w:t>✔️</w:t>
            </w:r>
          </w:p>
        </w:tc>
      </w:tr>
      <w:tr w:rsidR="00387C5A" w:rsidRPr="00387C5A" w14:paraId="5E0D531C" w14:textId="77777777" w:rsidTr="00387C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92D0EA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防水系统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656C89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高分子卷材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01A134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inherit" w:eastAsia="宋体" w:hAnsi="inherit" w:cs="宋体"/>
                <w:kern w:val="0"/>
                <w:szCs w:val="21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923523" w14:textId="77777777" w:rsidR="00387C5A" w:rsidRPr="00387C5A" w:rsidRDefault="00387C5A" w:rsidP="00387C5A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387C5A">
              <w:rPr>
                <w:rFonts w:ascii="Segoe UI Emoji" w:eastAsia="宋体" w:hAnsi="Segoe UI Emoji" w:cs="Segoe UI Emoji"/>
                <w:kern w:val="0"/>
                <w:szCs w:val="21"/>
              </w:rPr>
              <w:t>✔️</w:t>
            </w:r>
          </w:p>
        </w:tc>
      </w:tr>
    </w:tbl>
    <w:p w14:paraId="403A3961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667B6603">
          <v:rect id="_x0000_i1028" style="width:0;height:1.5pt" o:hralign="center" o:hrstd="t" o:hr="t" fillcolor="#a0a0a0" stroked="f"/>
        </w:pict>
      </w:r>
    </w:p>
    <w:p w14:paraId="14B820C6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</w:rPr>
        <w:lastRenderedPageBreak/>
        <w:t>四、评分结论</w:t>
      </w:r>
    </w:p>
    <w:p w14:paraId="76CDF9EF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根据《绿色建筑评价标准》第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7.2.16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条：</w:t>
      </w:r>
    </w:p>
    <w:p w14:paraId="56FA33E5" w14:textId="77777777" w:rsidR="00387C5A" w:rsidRPr="00387C5A" w:rsidRDefault="00387C5A" w:rsidP="00387C5A">
      <w:pPr>
        <w:widowControl/>
        <w:numPr>
          <w:ilvl w:val="0"/>
          <w:numId w:val="5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proofErr w:type="gramStart"/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达标部品种</w:t>
      </w:r>
      <w:proofErr w:type="gramEnd"/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类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4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种（内墙饰面、保温隔热、楼板系统、防水系统）</w:t>
      </w:r>
    </w:p>
    <w:p w14:paraId="57A5AB96" w14:textId="77777777" w:rsidR="00387C5A" w:rsidRPr="00387C5A" w:rsidRDefault="00387C5A" w:rsidP="00387C5A">
      <w:pPr>
        <w:widowControl/>
        <w:numPr>
          <w:ilvl w:val="0"/>
          <w:numId w:val="5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得分计算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09B479B4" w14:textId="77777777" w:rsidR="00387C5A" w:rsidRPr="00387C5A" w:rsidRDefault="00387C5A" w:rsidP="00387C5A">
      <w:pPr>
        <w:widowControl/>
        <w:numPr>
          <w:ilvl w:val="1"/>
          <w:numId w:val="5"/>
        </w:numPr>
        <w:spacing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达到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种得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3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分，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3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种得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5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分，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3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种以上得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8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分</w:t>
      </w:r>
    </w:p>
    <w:p w14:paraId="6BADAA8E" w14:textId="77777777" w:rsidR="00387C5A" w:rsidRPr="00387C5A" w:rsidRDefault="00387C5A" w:rsidP="00387C5A">
      <w:pPr>
        <w:widowControl/>
        <w:numPr>
          <w:ilvl w:val="1"/>
          <w:numId w:val="5"/>
        </w:numPr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本项目得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8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分</w:t>
      </w:r>
    </w:p>
    <w:p w14:paraId="00750453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27057D06">
          <v:rect id="_x0000_i1029" style="width:0;height:1.5pt" o:hralign="center" o:hrstd="t" o:hr="t" fillcolor="#a0a0a0" stroked="f"/>
        </w:pict>
      </w:r>
    </w:p>
    <w:p w14:paraId="243385A6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</w:rPr>
        <w:t>五、附件</w:t>
      </w:r>
    </w:p>
    <w:p w14:paraId="679AEC33" w14:textId="77777777" w:rsidR="00387C5A" w:rsidRPr="00387C5A" w:rsidRDefault="00387C5A" w:rsidP="00387C5A">
      <w:pPr>
        <w:widowControl/>
        <w:numPr>
          <w:ilvl w:val="0"/>
          <w:numId w:val="6"/>
        </w:numPr>
        <w:spacing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节能设计报告书（含围护结构构造详图）</w:t>
      </w:r>
    </w:p>
    <w:p w14:paraId="3D643D07" w14:textId="77777777" w:rsidR="00387C5A" w:rsidRPr="00387C5A" w:rsidRDefault="00387C5A" w:rsidP="00387C5A">
      <w:pPr>
        <w:widowControl/>
        <w:numPr>
          <w:ilvl w:val="0"/>
          <w:numId w:val="6"/>
        </w:numPr>
        <w:spacing w:before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材料检测报告（真空绝热板、石膏板、玻璃棉板等工业化部品）</w:t>
      </w:r>
    </w:p>
    <w:p w14:paraId="49860544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189A134B">
          <v:rect id="_x0000_i1030" style="width:0;height:1.5pt" o:hralign="center" o:hrstd="t" o:hr="t" fillcolor="#a0a0a0" stroked="f"/>
        </w:pict>
      </w:r>
    </w:p>
    <w:p w14:paraId="3584E5BC" w14:textId="77777777" w:rsidR="00387C5A" w:rsidRPr="00387C5A" w:rsidRDefault="00387C5A" w:rsidP="00387C5A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编制单位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：北京绿建软件股份有限公司</w:t>
      </w:r>
      <w:r w:rsidRPr="00387C5A">
        <w:rPr>
          <w:rFonts w:ascii="inherit" w:eastAsia="宋体" w:hAnsi="inherit" w:cs="宋体"/>
          <w:kern w:val="0"/>
          <w:sz w:val="24"/>
          <w:szCs w:val="24"/>
        </w:rPr>
        <w:br/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审核日期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2024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年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12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月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30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日</w:t>
      </w:r>
    </w:p>
    <w:p w14:paraId="466E2394" w14:textId="77777777" w:rsidR="00387C5A" w:rsidRPr="00387C5A" w:rsidRDefault="00387C5A" w:rsidP="00387C5A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pict w14:anchorId="69E2DBFE">
          <v:rect id="_x0000_i1031" style="width:0;height:1.5pt" o:hralign="center" o:hrstd="t" o:hr="t" fillcolor="#a0a0a0" stroked="f"/>
        </w:pict>
      </w:r>
    </w:p>
    <w:p w14:paraId="0A57CD25" w14:textId="77777777" w:rsidR="00387C5A" w:rsidRPr="00387C5A" w:rsidRDefault="00387C5A" w:rsidP="00387C5A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387C5A">
        <w:rPr>
          <w:rFonts w:ascii="inherit" w:eastAsia="宋体" w:hAnsi="inherit" w:cs="宋体"/>
          <w:b/>
          <w:bCs/>
          <w:kern w:val="0"/>
          <w:sz w:val="27"/>
          <w:szCs w:val="27"/>
        </w:rPr>
        <w:t>说明</w:t>
      </w:r>
    </w:p>
    <w:p w14:paraId="6565B8E4" w14:textId="77777777" w:rsidR="00387C5A" w:rsidRPr="00387C5A" w:rsidRDefault="00387C5A" w:rsidP="00387C5A">
      <w:pPr>
        <w:widowControl/>
        <w:numPr>
          <w:ilvl w:val="0"/>
          <w:numId w:val="7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工业化部品定义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：工厂预制、现场组装的内装材料（如石膏板、真空绝热板等），非现场湿作业。</w:t>
      </w:r>
    </w:p>
    <w:p w14:paraId="0A72E25E" w14:textId="77777777" w:rsidR="00387C5A" w:rsidRPr="00387C5A" w:rsidRDefault="00387C5A" w:rsidP="00387C5A">
      <w:pPr>
        <w:widowControl/>
        <w:numPr>
          <w:ilvl w:val="0"/>
          <w:numId w:val="7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数据来源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：根据《建筑节能设计报告书》中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“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围护结构作法简要说明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”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提取构造信息，默认全项目同类部位均采用相同做法。</w:t>
      </w:r>
    </w:p>
    <w:p w14:paraId="7462D3F6" w14:textId="77777777" w:rsidR="00387C5A" w:rsidRPr="00387C5A" w:rsidRDefault="00387C5A" w:rsidP="00387C5A">
      <w:pPr>
        <w:widowControl/>
        <w:numPr>
          <w:ilvl w:val="0"/>
          <w:numId w:val="7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7C5A">
        <w:rPr>
          <w:rFonts w:ascii="inherit" w:eastAsia="宋体" w:hAnsi="inherit" w:cs="宋体"/>
          <w:kern w:val="0"/>
          <w:sz w:val="24"/>
          <w:szCs w:val="24"/>
        </w:rPr>
        <w:t>​</w:t>
      </w:r>
      <w:r w:rsidRPr="00387C5A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保守计算</w:t>
      </w:r>
      <w:r w:rsidRPr="00387C5A">
        <w:rPr>
          <w:rFonts w:ascii="inherit" w:eastAsia="宋体" w:hAnsi="inherit" w:cs="宋体"/>
          <w:kern w:val="0"/>
          <w:sz w:val="24"/>
          <w:szCs w:val="24"/>
        </w:rPr>
        <w:t>：未计入松木基层等非核心工业化部品，仅统计明确预制化的部品。</w:t>
      </w:r>
    </w:p>
    <w:p w14:paraId="2468083D" w14:textId="77777777" w:rsidR="00A62871" w:rsidRPr="00387C5A" w:rsidRDefault="00A62871"/>
    <w:sectPr w:rsidR="00A62871" w:rsidRPr="0038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1CBF"/>
    <w:multiLevelType w:val="multilevel"/>
    <w:tmpl w:val="1C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F39F2"/>
    <w:multiLevelType w:val="multilevel"/>
    <w:tmpl w:val="563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7C40EF"/>
    <w:multiLevelType w:val="multilevel"/>
    <w:tmpl w:val="A50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91A27"/>
    <w:multiLevelType w:val="multilevel"/>
    <w:tmpl w:val="1CF8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EC44BE"/>
    <w:multiLevelType w:val="multilevel"/>
    <w:tmpl w:val="F4F0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16B33"/>
    <w:multiLevelType w:val="multilevel"/>
    <w:tmpl w:val="9990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D36A5"/>
    <w:multiLevelType w:val="multilevel"/>
    <w:tmpl w:val="07F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189047">
    <w:abstractNumId w:val="3"/>
  </w:num>
  <w:num w:numId="2" w16cid:durableId="1366784865">
    <w:abstractNumId w:val="2"/>
  </w:num>
  <w:num w:numId="3" w16cid:durableId="1379281376">
    <w:abstractNumId w:val="6"/>
  </w:num>
  <w:num w:numId="4" w16cid:durableId="1222594089">
    <w:abstractNumId w:val="0"/>
  </w:num>
  <w:num w:numId="5" w16cid:durableId="925919545">
    <w:abstractNumId w:val="1"/>
  </w:num>
  <w:num w:numId="6" w16cid:durableId="1740785050">
    <w:abstractNumId w:val="5"/>
  </w:num>
  <w:num w:numId="7" w16cid:durableId="196295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5"/>
    <w:rsid w:val="000628C8"/>
    <w:rsid w:val="00100BE5"/>
    <w:rsid w:val="00292AF2"/>
    <w:rsid w:val="00387C5A"/>
    <w:rsid w:val="004317F1"/>
    <w:rsid w:val="007C52D7"/>
    <w:rsid w:val="007F066D"/>
    <w:rsid w:val="00836368"/>
    <w:rsid w:val="008A7170"/>
    <w:rsid w:val="00A62871"/>
    <w:rsid w:val="00DF1447"/>
    <w:rsid w:val="00EF7EF9"/>
    <w:rsid w:val="00F82FCF"/>
    <w:rsid w:val="00FE2EC1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34494-BFE3-434F-B52B-B6CB520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B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B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B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0B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B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B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0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77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75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2025-03-15T09:15:00Z</dcterms:created>
  <dcterms:modified xsi:type="dcterms:W3CDTF">2025-03-15T09:15:00Z</dcterms:modified>
</cp:coreProperties>
</file>