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10D3" w14:textId="77777777" w:rsidR="00140693" w:rsidRPr="00140693" w:rsidRDefault="00140693" w:rsidP="00140693">
      <w:pPr>
        <w:rPr>
          <w:rFonts w:hint="eastAsia"/>
        </w:rPr>
      </w:pPr>
      <w:r w:rsidRPr="00140693">
        <w:rPr>
          <w:b/>
          <w:bCs/>
        </w:rPr>
        <w:t>暖通设计计算书（符合绿建条文第7.1.3条）</w:t>
      </w:r>
      <w:r w:rsidRPr="00140693">
        <w:rPr>
          <w:rFonts w:ascii="Times New Roman" w:hAnsi="Times New Roman" w:cs="Times New Roman"/>
          <w:b/>
          <w:bCs/>
        </w:rPr>
        <w:t>​</w:t>
      </w:r>
    </w:p>
    <w:p w14:paraId="33A826B3" w14:textId="77777777" w:rsidR="00140693" w:rsidRPr="00140693" w:rsidRDefault="00000000" w:rsidP="00140693">
      <w:pPr>
        <w:rPr>
          <w:rFonts w:hint="eastAsia"/>
        </w:rPr>
      </w:pPr>
      <w:r>
        <w:pict w14:anchorId="4F37750B">
          <v:rect id="_x0000_i1025" style="width:0;height:1.5pt" o:hralign="center" o:hrstd="t" o:hr="t" fillcolor="#a0a0a0" stroked="f"/>
        </w:pict>
      </w:r>
    </w:p>
    <w:p w14:paraId="54E175C5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一、设计依据</w:t>
      </w:r>
    </w:p>
    <w:p w14:paraId="686FF11D" w14:textId="77777777" w:rsidR="00140693" w:rsidRPr="00140693" w:rsidRDefault="00140693" w:rsidP="00140693">
      <w:pPr>
        <w:numPr>
          <w:ilvl w:val="0"/>
          <w:numId w:val="1"/>
        </w:numPr>
        <w:rPr>
          <w:rFonts w:hint="eastAsia"/>
        </w:rPr>
      </w:pPr>
      <w:r w:rsidRPr="00140693">
        <w:t>《绿色建筑评价标准》GB/T 50378-2019</w:t>
      </w:r>
    </w:p>
    <w:p w14:paraId="2981CA9D" w14:textId="77777777" w:rsidR="00140693" w:rsidRPr="00140693" w:rsidRDefault="00140693" w:rsidP="00140693">
      <w:pPr>
        <w:numPr>
          <w:ilvl w:val="0"/>
          <w:numId w:val="1"/>
        </w:numPr>
        <w:rPr>
          <w:rFonts w:hint="eastAsia"/>
        </w:rPr>
      </w:pPr>
      <w:r w:rsidRPr="00140693">
        <w:t>《浙江省公共建筑节能设计标准》DB33/1036-2021</w:t>
      </w:r>
    </w:p>
    <w:p w14:paraId="7346C425" w14:textId="77777777" w:rsidR="00140693" w:rsidRPr="00140693" w:rsidRDefault="00140693" w:rsidP="00140693">
      <w:pPr>
        <w:numPr>
          <w:ilvl w:val="0"/>
          <w:numId w:val="1"/>
        </w:numPr>
        <w:rPr>
          <w:rFonts w:hint="eastAsia"/>
        </w:rPr>
      </w:pPr>
      <w:r w:rsidRPr="00140693">
        <w:t>《民用建筑供暖通风与空气调节设计规范》GB 50736-2012</w:t>
      </w:r>
    </w:p>
    <w:p w14:paraId="7CDFBAD8" w14:textId="77777777" w:rsidR="00140693" w:rsidRPr="00140693" w:rsidRDefault="00140693" w:rsidP="00140693">
      <w:pPr>
        <w:numPr>
          <w:ilvl w:val="0"/>
          <w:numId w:val="1"/>
        </w:numPr>
        <w:rPr>
          <w:rFonts w:hint="eastAsia"/>
        </w:rPr>
      </w:pPr>
      <w:r w:rsidRPr="00140693">
        <w:t>建筑节能报告书、暖通负荷报告书（附件文档1-4）</w:t>
      </w:r>
    </w:p>
    <w:p w14:paraId="2E0FF6F7" w14:textId="77777777" w:rsidR="00140693" w:rsidRPr="00140693" w:rsidRDefault="00000000" w:rsidP="00140693">
      <w:pPr>
        <w:rPr>
          <w:rFonts w:hint="eastAsia"/>
        </w:rPr>
      </w:pPr>
      <w:r>
        <w:pict w14:anchorId="1D920A81">
          <v:rect id="_x0000_i1026" style="width:0;height:1.5pt" o:hralign="center" o:hrstd="t" o:hr="t" fillcolor="#a0a0a0" stroked="f"/>
        </w:pict>
      </w:r>
    </w:p>
    <w:p w14:paraId="35823D5E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二、项目概况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3109"/>
        <w:gridCol w:w="1027"/>
        <w:gridCol w:w="3143"/>
      </w:tblGrid>
      <w:tr w:rsidR="00140693" w:rsidRPr="00140693" w14:paraId="637E98EC" w14:textId="77777777" w:rsidTr="001406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791E9B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9809E2" w14:textId="7728608B" w:rsidR="00140693" w:rsidRPr="00140693" w:rsidRDefault="005730E8" w:rsidP="00140693">
            <w:pPr>
              <w:rPr>
                <w:rFonts w:hint="eastAsia"/>
                <w:b/>
                <w:bCs/>
              </w:rPr>
            </w:pPr>
            <w:r w:rsidRPr="005730E8">
              <w:rPr>
                <w:rFonts w:hint="eastAsia"/>
                <w:b/>
                <w:bCs/>
              </w:rPr>
              <w:t>古韵新生——张爱玲故居的低碳活化再利用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BFFA51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地理位置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F2DFC0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浙江绍兴</w:t>
            </w:r>
          </w:p>
        </w:tc>
      </w:tr>
      <w:tr w:rsidR="00140693" w:rsidRPr="00140693" w14:paraId="5719A7DE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ABD7D37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建筑面积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79548A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地上965.69m²，地下0m²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ACF665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建筑层数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754660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地上2层，地下0层</w:t>
            </w:r>
          </w:p>
        </w:tc>
      </w:tr>
      <w:tr w:rsidR="00140693" w:rsidRPr="00140693" w14:paraId="19B175FB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49C512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建筑高度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19F9B6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10.70m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8DA178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气候分区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785713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夏热冬冷A区</w:t>
            </w:r>
          </w:p>
        </w:tc>
      </w:tr>
      <w:tr w:rsidR="00140693" w:rsidRPr="00140693" w14:paraId="4F41AE88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07DE3F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主要功能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E5FC56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办公室、展览馆、楼梯间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0E6D32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冷热负荷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7FFE0B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供冷50.99 kWh/m²·a，供暖40.88 kWh/m²·a</w:t>
            </w:r>
          </w:p>
        </w:tc>
      </w:tr>
    </w:tbl>
    <w:p w14:paraId="25D17CA3" w14:textId="77777777" w:rsidR="00140693" w:rsidRPr="00140693" w:rsidRDefault="00000000" w:rsidP="00140693">
      <w:pPr>
        <w:rPr>
          <w:rFonts w:hint="eastAsia"/>
        </w:rPr>
      </w:pPr>
      <w:r>
        <w:pict w14:anchorId="06A9B2BC">
          <v:rect id="_x0000_i1027" style="width:0;height:1.5pt" o:hralign="center" o:hrstd="t" o:hr="t" fillcolor="#a0a0a0" stroked="f"/>
        </w:pict>
      </w:r>
    </w:p>
    <w:p w14:paraId="70A73BE6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三、分区温度设定原则</w:t>
      </w:r>
    </w:p>
    <w:p w14:paraId="5AB1D9B8" w14:textId="77777777" w:rsidR="00140693" w:rsidRPr="00140693" w:rsidRDefault="00140693" w:rsidP="00140693">
      <w:pPr>
        <w:rPr>
          <w:rFonts w:hint="eastAsia"/>
        </w:rPr>
      </w:pPr>
      <w:r w:rsidRPr="00140693">
        <w:t>根据绿建条文第7.1.3条，</w:t>
      </w:r>
      <w:r w:rsidRPr="00140693">
        <w:rPr>
          <w:b/>
          <w:bCs/>
        </w:rPr>
        <w:t>按空间功能划分温度控制区</w:t>
      </w:r>
      <w:r w:rsidRPr="00140693">
        <w:t>，降低过渡区温度设定标准：</w:t>
      </w:r>
    </w:p>
    <w:p w14:paraId="73FA48B9" w14:textId="77777777" w:rsidR="00140693" w:rsidRPr="00140693" w:rsidRDefault="00140693" w:rsidP="00140693">
      <w:pPr>
        <w:numPr>
          <w:ilvl w:val="0"/>
          <w:numId w:val="2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主要功能区</w:t>
      </w:r>
      <w:r w:rsidRPr="00140693">
        <w:rPr>
          <w:rFonts w:ascii="Times New Roman" w:hAnsi="Times New Roman" w:cs="Times New Roman"/>
        </w:rPr>
        <w:t>​</w:t>
      </w:r>
      <w:r w:rsidRPr="00140693">
        <w:t>（办公室、展览馆）：</w:t>
      </w:r>
    </w:p>
    <w:p w14:paraId="63C4DC16" w14:textId="77777777" w:rsidR="00140693" w:rsidRPr="00140693" w:rsidRDefault="00140693" w:rsidP="00140693">
      <w:pPr>
        <w:numPr>
          <w:ilvl w:val="1"/>
          <w:numId w:val="2"/>
        </w:numPr>
        <w:rPr>
          <w:rFonts w:hint="eastAsia"/>
        </w:rPr>
      </w:pPr>
      <w:r w:rsidRPr="00140693">
        <w:t>夏季空调温度：26℃</w:t>
      </w:r>
    </w:p>
    <w:p w14:paraId="123C3400" w14:textId="77777777" w:rsidR="00140693" w:rsidRPr="00140693" w:rsidRDefault="00140693" w:rsidP="00140693">
      <w:pPr>
        <w:numPr>
          <w:ilvl w:val="1"/>
          <w:numId w:val="2"/>
        </w:numPr>
        <w:rPr>
          <w:rFonts w:hint="eastAsia"/>
        </w:rPr>
      </w:pPr>
      <w:r w:rsidRPr="00140693">
        <w:t>冬季供暖温度：20℃</w:t>
      </w:r>
    </w:p>
    <w:p w14:paraId="2AA3AF14" w14:textId="77777777" w:rsidR="00140693" w:rsidRPr="00140693" w:rsidRDefault="00140693" w:rsidP="00140693">
      <w:pPr>
        <w:numPr>
          <w:ilvl w:val="0"/>
          <w:numId w:val="2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过渡区</w:t>
      </w:r>
      <w:r w:rsidRPr="00140693">
        <w:rPr>
          <w:rFonts w:ascii="Times New Roman" w:hAnsi="Times New Roman" w:cs="Times New Roman"/>
        </w:rPr>
        <w:t>​</w:t>
      </w:r>
      <w:r w:rsidRPr="00140693">
        <w:t>（门厅、走廊、楼梯间）：</w:t>
      </w:r>
    </w:p>
    <w:p w14:paraId="64806C41" w14:textId="77777777" w:rsidR="00140693" w:rsidRPr="00140693" w:rsidRDefault="00140693" w:rsidP="00140693">
      <w:pPr>
        <w:numPr>
          <w:ilvl w:val="1"/>
          <w:numId w:val="2"/>
        </w:numPr>
        <w:rPr>
          <w:rFonts w:hint="eastAsia"/>
        </w:rPr>
      </w:pPr>
      <w:r w:rsidRPr="00140693">
        <w:t>夏季空调温度：28℃（较功能区提高2℃）</w:t>
      </w:r>
    </w:p>
    <w:p w14:paraId="2DC5D939" w14:textId="77777777" w:rsidR="00140693" w:rsidRPr="00140693" w:rsidRDefault="00140693" w:rsidP="00140693">
      <w:pPr>
        <w:numPr>
          <w:ilvl w:val="1"/>
          <w:numId w:val="2"/>
        </w:numPr>
        <w:rPr>
          <w:rFonts w:hint="eastAsia"/>
        </w:rPr>
      </w:pPr>
      <w:r w:rsidRPr="00140693">
        <w:t>冬季供暖温度：18℃（较功能区降低2℃）</w:t>
      </w:r>
    </w:p>
    <w:p w14:paraId="1A2B30DB" w14:textId="77777777" w:rsidR="00140693" w:rsidRPr="00140693" w:rsidRDefault="00000000" w:rsidP="00140693">
      <w:pPr>
        <w:rPr>
          <w:rFonts w:hint="eastAsia"/>
        </w:rPr>
      </w:pPr>
      <w:r>
        <w:pict w14:anchorId="373A8ECB">
          <v:rect id="_x0000_i1028" style="width:0;height:1.5pt" o:hralign="center" o:hrstd="t" o:hr="t" fillcolor="#a0a0a0" stroked="f"/>
        </w:pict>
      </w:r>
    </w:p>
    <w:p w14:paraId="05FE1089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四、负荷计算与修正</w:t>
      </w:r>
    </w:p>
    <w:p w14:paraId="7ECD1C7A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1. 原始负荷数据（文档2）</w:t>
      </w:r>
      <w:r w:rsidRPr="00140693">
        <w:rPr>
          <w:rFonts w:ascii="Times New Roman" w:hAnsi="Times New Roman" w:cs="Times New Roman"/>
          <w:b/>
          <w:bCs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587"/>
        <w:gridCol w:w="2264"/>
        <w:gridCol w:w="2264"/>
      </w:tblGrid>
      <w:tr w:rsidR="00140693" w:rsidRPr="00140693" w14:paraId="05297E8E" w14:textId="77777777" w:rsidTr="001406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CA63D1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区域类型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640730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面积（m²）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74BA78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夏季冷负荷（kW）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225527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冬季热负荷（kW）</w:t>
            </w:r>
          </w:p>
        </w:tc>
      </w:tr>
      <w:tr w:rsidR="00140693" w:rsidRPr="00140693" w14:paraId="651D2C65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E8C8B5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68874B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1B2349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257599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22.8</w:t>
            </w:r>
          </w:p>
        </w:tc>
      </w:tr>
      <w:tr w:rsidR="00140693" w:rsidRPr="00140693" w14:paraId="5AA991FB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3D1947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展览馆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FF7290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225.13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DAD9E1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E53EDE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40.3</w:t>
            </w:r>
          </w:p>
        </w:tc>
      </w:tr>
      <w:tr w:rsidR="00140693" w:rsidRPr="00140693" w14:paraId="10807AD7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522107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楼梯间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C9D107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64B7F5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F2179C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79.5</w:t>
            </w:r>
          </w:p>
        </w:tc>
      </w:tr>
    </w:tbl>
    <w:p w14:paraId="2BF5424E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2. 过渡区温度修正</w:t>
      </w:r>
    </w:p>
    <w:p w14:paraId="7AFD66A6" w14:textId="77777777" w:rsidR="00140693" w:rsidRPr="00140693" w:rsidRDefault="00140693" w:rsidP="00140693">
      <w:pPr>
        <w:numPr>
          <w:ilvl w:val="0"/>
          <w:numId w:val="3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夏季冷负荷修正</w:t>
      </w:r>
      <w:r w:rsidRPr="00140693">
        <w:t>：过渡区温度提高2℃，冷负荷降低约**10%**</w:t>
      </w:r>
      <w:r w:rsidRPr="00140693">
        <w:rPr>
          <w:rFonts w:ascii="Times New Roman" w:hAnsi="Times New Roman" w:cs="Times New Roman"/>
        </w:rPr>
        <w:t>​</w:t>
      </w:r>
      <w:r w:rsidRPr="00140693">
        <w:t>（参考ASHRAE经验值）。</w:t>
      </w:r>
    </w:p>
    <w:p w14:paraId="6657F6F9" w14:textId="77777777" w:rsidR="00140693" w:rsidRPr="00140693" w:rsidRDefault="00140693" w:rsidP="00140693">
      <w:pPr>
        <w:numPr>
          <w:ilvl w:val="0"/>
          <w:numId w:val="3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lastRenderedPageBreak/>
        <w:t>​</w:t>
      </w:r>
      <w:r w:rsidRPr="00140693">
        <w:rPr>
          <w:b/>
          <w:bCs/>
        </w:rPr>
        <w:t>冬季热负荷修正</w:t>
      </w:r>
      <w:r w:rsidRPr="00140693">
        <w:t>：过渡区温度降低2℃，热负荷降低约</w:t>
      </w:r>
      <w:r w:rsidRPr="00140693">
        <w:rPr>
          <w:b/>
          <w:bCs/>
        </w:rPr>
        <w:t>15%</w:t>
      </w:r>
      <w:r w:rsidRPr="00140693">
        <w:t>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894"/>
        <w:gridCol w:w="2894"/>
      </w:tblGrid>
      <w:tr w:rsidR="00140693" w:rsidRPr="00140693" w14:paraId="3D536587" w14:textId="77777777" w:rsidTr="001406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AA9449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区域类型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078897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修正后夏季冷负荷（kW）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0FDB0E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修正后冬季热负荷（kW）</w:t>
            </w:r>
          </w:p>
        </w:tc>
      </w:tr>
      <w:tr w:rsidR="00140693" w:rsidRPr="00140693" w14:paraId="66C8E369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6AC3C9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楼梯间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E5C464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 xml:space="preserve">79.5 × 0.9 = </w:t>
            </w:r>
            <w:r w:rsidRPr="00140693">
              <w:rPr>
                <w:rFonts w:ascii="Times New Roman" w:hAnsi="Times New Roman" w:cs="Times New Roman"/>
              </w:rPr>
              <w:t>​</w:t>
            </w:r>
            <w:r w:rsidRPr="00140693">
              <w:rPr>
                <w:b/>
                <w:bCs/>
              </w:rPr>
              <w:t>71.6</w:t>
            </w:r>
            <w:r w:rsidRPr="00140693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AC3062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 xml:space="preserve">79.5 × 0.85 = </w:t>
            </w:r>
            <w:r w:rsidRPr="00140693">
              <w:rPr>
                <w:rFonts w:ascii="Times New Roman" w:hAnsi="Times New Roman" w:cs="Times New Roman"/>
              </w:rPr>
              <w:t>​</w:t>
            </w:r>
            <w:r w:rsidRPr="00140693">
              <w:rPr>
                <w:b/>
                <w:bCs/>
              </w:rPr>
              <w:t>67.6</w:t>
            </w:r>
            <w:r w:rsidRPr="00140693">
              <w:rPr>
                <w:rFonts w:ascii="Times New Roman" w:hAnsi="Times New Roman" w:cs="Times New Roman"/>
              </w:rPr>
              <w:t>​</w:t>
            </w:r>
          </w:p>
        </w:tc>
      </w:tr>
    </w:tbl>
    <w:p w14:paraId="43C91BBF" w14:textId="77777777" w:rsidR="00140693" w:rsidRPr="00140693" w:rsidRDefault="00000000" w:rsidP="00140693">
      <w:pPr>
        <w:rPr>
          <w:rFonts w:hint="eastAsia"/>
        </w:rPr>
      </w:pPr>
      <w:r>
        <w:pict w14:anchorId="5C84D9EF">
          <v:rect id="_x0000_i1029" style="width:0;height:1.5pt" o:hralign="center" o:hrstd="t" o:hr="t" fillcolor="#a0a0a0" stroked="f"/>
        </w:pict>
      </w:r>
    </w:p>
    <w:p w14:paraId="153A37BF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五、设备选型建议</w:t>
      </w:r>
    </w:p>
    <w:p w14:paraId="75794731" w14:textId="77777777" w:rsidR="00140693" w:rsidRPr="00140693" w:rsidRDefault="00140693" w:rsidP="00140693">
      <w:pPr>
        <w:numPr>
          <w:ilvl w:val="0"/>
          <w:numId w:val="4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空调系统分区</w:t>
      </w:r>
      <w:r w:rsidRPr="00140693">
        <w:rPr>
          <w:rFonts w:ascii="Times New Roman" w:hAnsi="Times New Roman" w:cs="Times New Roman"/>
        </w:rPr>
        <w:t>​</w:t>
      </w:r>
    </w:p>
    <w:p w14:paraId="48AD1478" w14:textId="77777777" w:rsidR="00140693" w:rsidRPr="00140693" w:rsidRDefault="00140693" w:rsidP="00140693">
      <w:pPr>
        <w:numPr>
          <w:ilvl w:val="1"/>
          <w:numId w:val="4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独立控制</w:t>
      </w:r>
      <w:r w:rsidRPr="00140693">
        <w:t>：办公室、展览馆采用变风量（VAV）系统，过渡区采用独立温控器。</w:t>
      </w:r>
    </w:p>
    <w:p w14:paraId="32F70833" w14:textId="77777777" w:rsidR="00140693" w:rsidRPr="00140693" w:rsidRDefault="00140693" w:rsidP="00140693">
      <w:pPr>
        <w:numPr>
          <w:ilvl w:val="1"/>
          <w:numId w:val="4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节能策略</w:t>
      </w:r>
      <w:r w:rsidRPr="00140693">
        <w:t>：过渡区设置延时关闭（如非工作时间自动调温至28℃/18℃）。</w:t>
      </w:r>
    </w:p>
    <w:p w14:paraId="4A0266BE" w14:textId="77777777" w:rsidR="00140693" w:rsidRPr="00140693" w:rsidRDefault="00140693" w:rsidP="00140693">
      <w:pPr>
        <w:numPr>
          <w:ilvl w:val="0"/>
          <w:numId w:val="4"/>
        </w:numPr>
        <w:rPr>
          <w:rFonts w:hint="eastAsia"/>
        </w:rPr>
      </w:pPr>
      <w:r w:rsidRPr="00140693">
        <w:rPr>
          <w:rFonts w:ascii="Times New Roman" w:hAnsi="Times New Roman" w:cs="Times New Roman"/>
        </w:rPr>
        <w:t>​</w:t>
      </w:r>
      <w:r w:rsidRPr="00140693">
        <w:rPr>
          <w:b/>
          <w:bCs/>
        </w:rPr>
        <w:t>冷热源配置</w:t>
      </w:r>
      <w:r w:rsidRPr="00140693">
        <w:rPr>
          <w:rFonts w:ascii="Times New Roman" w:hAnsi="Times New Roman" w:cs="Times New Roman"/>
        </w:rPr>
        <w:t>​</w:t>
      </w:r>
    </w:p>
    <w:p w14:paraId="592C552C" w14:textId="77777777" w:rsidR="00140693" w:rsidRPr="00140693" w:rsidRDefault="00140693" w:rsidP="00140693">
      <w:pPr>
        <w:numPr>
          <w:ilvl w:val="1"/>
          <w:numId w:val="4"/>
        </w:numPr>
        <w:rPr>
          <w:rFonts w:hint="eastAsia"/>
        </w:rPr>
      </w:pPr>
      <w:r w:rsidRPr="00140693">
        <w:t xml:space="preserve">总冷负荷：49243 kWh → </w:t>
      </w:r>
      <w:r w:rsidRPr="00140693">
        <w:rPr>
          <w:rFonts w:ascii="Times New Roman" w:hAnsi="Times New Roman" w:cs="Times New Roman"/>
        </w:rPr>
        <w:t>​</w:t>
      </w:r>
      <w:r w:rsidRPr="00140693">
        <w:t>**修正后减少5%**</w:t>
      </w:r>
      <w:r w:rsidRPr="00140693">
        <w:rPr>
          <w:rFonts w:ascii="Times New Roman" w:hAnsi="Times New Roman" w:cs="Times New Roman"/>
        </w:rPr>
        <w:t>​</w:t>
      </w:r>
      <w:r w:rsidRPr="00140693">
        <w:t>（过渡区占比约10%）</w:t>
      </w:r>
    </w:p>
    <w:p w14:paraId="14CC6423" w14:textId="77777777" w:rsidR="00140693" w:rsidRPr="00140693" w:rsidRDefault="00140693" w:rsidP="00140693">
      <w:pPr>
        <w:numPr>
          <w:ilvl w:val="1"/>
          <w:numId w:val="4"/>
        </w:numPr>
        <w:rPr>
          <w:rFonts w:hint="eastAsia"/>
        </w:rPr>
      </w:pPr>
      <w:r w:rsidRPr="00140693">
        <w:t xml:space="preserve">总热负荷：39477 kWh → </w:t>
      </w:r>
      <w:r w:rsidRPr="00140693">
        <w:rPr>
          <w:rFonts w:ascii="Times New Roman" w:hAnsi="Times New Roman" w:cs="Times New Roman"/>
        </w:rPr>
        <w:t>​</w:t>
      </w:r>
      <w:r w:rsidRPr="00140693">
        <w:t>**修正后减少8%**</w:t>
      </w:r>
      <w:r w:rsidRPr="00140693">
        <w:rPr>
          <w:rFonts w:ascii="Times New Roman" w:hAnsi="Times New Roman" w:cs="Times New Roman"/>
        </w:rPr>
        <w:t>​</w:t>
      </w:r>
    </w:p>
    <w:p w14:paraId="002A3C74" w14:textId="77777777" w:rsidR="00140693" w:rsidRPr="00140693" w:rsidRDefault="00000000" w:rsidP="00140693">
      <w:pPr>
        <w:rPr>
          <w:rFonts w:hint="eastAsia"/>
        </w:rPr>
      </w:pPr>
      <w:r>
        <w:pict w14:anchorId="6FA99E02">
          <v:rect id="_x0000_i1030" style="width:0;height:1.5pt" o:hralign="center" o:hrstd="t" o:hr="t" fillcolor="#a0a0a0" stroked="f"/>
        </w:pict>
      </w:r>
    </w:p>
    <w:p w14:paraId="6F5DE848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六、节能效益分析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62"/>
        <w:gridCol w:w="1762"/>
        <w:gridCol w:w="1110"/>
      </w:tblGrid>
      <w:tr w:rsidR="00140693" w:rsidRPr="00140693" w14:paraId="0A27624D" w14:textId="77777777" w:rsidTr="001406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A51091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7936A8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原始值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32BCC6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修正后值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80D2E5" w14:textId="77777777" w:rsidR="00140693" w:rsidRPr="00140693" w:rsidRDefault="00140693" w:rsidP="00140693">
            <w:pPr>
              <w:rPr>
                <w:rFonts w:hint="eastAsia"/>
                <w:b/>
                <w:bCs/>
              </w:rPr>
            </w:pPr>
            <w:r w:rsidRPr="00140693">
              <w:rPr>
                <w:b/>
                <w:bCs/>
              </w:rPr>
              <w:t>节能率</w:t>
            </w:r>
          </w:p>
        </w:tc>
      </w:tr>
      <w:tr w:rsidR="00140693" w:rsidRPr="00140693" w14:paraId="1D67D6E1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F2E5E9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年供冷能耗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6AEF7D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50.99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727210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48.44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8EBFFB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5.0%</w:t>
            </w:r>
          </w:p>
        </w:tc>
      </w:tr>
      <w:tr w:rsidR="00140693" w:rsidRPr="00140693" w14:paraId="2FEA3A91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AB2F49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年供暖能耗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41CA2D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40.88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F60533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37.61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32621A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8.0%</w:t>
            </w:r>
          </w:p>
        </w:tc>
      </w:tr>
      <w:tr w:rsidR="00140693" w:rsidRPr="00140693" w14:paraId="17B911F3" w14:textId="77777777" w:rsidTr="001406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7D58C37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总能耗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70F504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91.87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748EE5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86.05 kWh/m²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09AA503" w14:textId="77777777" w:rsidR="00140693" w:rsidRPr="00140693" w:rsidRDefault="00140693" w:rsidP="00140693">
            <w:pPr>
              <w:rPr>
                <w:rFonts w:hint="eastAsia"/>
              </w:rPr>
            </w:pPr>
            <w:r w:rsidRPr="00140693">
              <w:t>6.3%</w:t>
            </w:r>
          </w:p>
        </w:tc>
      </w:tr>
    </w:tbl>
    <w:p w14:paraId="31F2510C" w14:textId="77777777" w:rsidR="00140693" w:rsidRPr="00140693" w:rsidRDefault="00000000" w:rsidP="00140693">
      <w:pPr>
        <w:rPr>
          <w:rFonts w:hint="eastAsia"/>
        </w:rPr>
      </w:pPr>
      <w:r>
        <w:pict w14:anchorId="591F9A0D">
          <v:rect id="_x0000_i1031" style="width:0;height:1.5pt" o:hralign="center" o:hrstd="t" o:hr="t" fillcolor="#a0a0a0" stroked="f"/>
        </w:pict>
      </w:r>
    </w:p>
    <w:p w14:paraId="381C14EC" w14:textId="77777777" w:rsidR="00140693" w:rsidRPr="00140693" w:rsidRDefault="00140693" w:rsidP="00140693">
      <w:pPr>
        <w:rPr>
          <w:rFonts w:hint="eastAsia"/>
          <w:b/>
          <w:bCs/>
        </w:rPr>
      </w:pPr>
      <w:r w:rsidRPr="00140693">
        <w:rPr>
          <w:rFonts w:ascii="Times New Roman" w:hAnsi="Times New Roman" w:cs="Times New Roman"/>
          <w:b/>
          <w:bCs/>
        </w:rPr>
        <w:t>​</w:t>
      </w:r>
      <w:r w:rsidRPr="00140693">
        <w:rPr>
          <w:b/>
          <w:bCs/>
        </w:rPr>
        <w:t>七、结论</w:t>
      </w:r>
    </w:p>
    <w:p w14:paraId="285B7A3A" w14:textId="77777777" w:rsidR="00140693" w:rsidRPr="00140693" w:rsidRDefault="00140693" w:rsidP="00140693">
      <w:pPr>
        <w:numPr>
          <w:ilvl w:val="0"/>
          <w:numId w:val="5"/>
        </w:numPr>
        <w:rPr>
          <w:rFonts w:hint="eastAsia"/>
        </w:rPr>
      </w:pPr>
      <w:r w:rsidRPr="00140693">
        <w:t>通过分区温度控制，过渡区冷热负荷显著降低，年总能耗减少</w:t>
      </w:r>
      <w:r w:rsidRPr="00140693">
        <w:rPr>
          <w:b/>
          <w:bCs/>
        </w:rPr>
        <w:t>6.3%</w:t>
      </w:r>
      <w:r w:rsidRPr="00140693">
        <w:t>。</w:t>
      </w:r>
    </w:p>
    <w:p w14:paraId="586CCA67" w14:textId="77777777" w:rsidR="00140693" w:rsidRPr="00140693" w:rsidRDefault="00140693" w:rsidP="00140693">
      <w:pPr>
        <w:numPr>
          <w:ilvl w:val="0"/>
          <w:numId w:val="5"/>
        </w:numPr>
        <w:rPr>
          <w:rFonts w:hint="eastAsia"/>
        </w:rPr>
      </w:pPr>
      <w:r w:rsidRPr="00140693">
        <w:t>设计符合绿建条文第7.1.3条要求，实现功能分区与节能目标。</w:t>
      </w:r>
    </w:p>
    <w:p w14:paraId="609DA842" w14:textId="77777777" w:rsidR="00140693" w:rsidRPr="00140693" w:rsidRDefault="00000000" w:rsidP="00140693">
      <w:pPr>
        <w:rPr>
          <w:rFonts w:hint="eastAsia"/>
        </w:rPr>
      </w:pPr>
      <w:r>
        <w:pict w14:anchorId="2C65D125">
          <v:rect id="_x0000_i1032" style="width:0;height:1.5pt" o:hralign="center" o:hrstd="t" o:hr="t" fillcolor="#a0a0a0" stroked="f"/>
        </w:pict>
      </w:r>
    </w:p>
    <w:p w14:paraId="1B4CD9D3" w14:textId="77777777" w:rsidR="00140693" w:rsidRPr="00140693" w:rsidRDefault="00140693" w:rsidP="00140693">
      <w:pPr>
        <w:rPr>
          <w:rFonts w:hint="eastAsia"/>
        </w:rPr>
      </w:pPr>
      <w:r w:rsidRPr="00140693">
        <w:rPr>
          <w:b/>
          <w:bCs/>
        </w:rPr>
        <w:t>附：关键数据来源</w:t>
      </w:r>
    </w:p>
    <w:p w14:paraId="6E4D3211" w14:textId="77777777" w:rsidR="00140693" w:rsidRPr="00140693" w:rsidRDefault="00140693" w:rsidP="00140693">
      <w:pPr>
        <w:numPr>
          <w:ilvl w:val="0"/>
          <w:numId w:val="6"/>
        </w:numPr>
        <w:rPr>
          <w:rFonts w:hint="eastAsia"/>
        </w:rPr>
      </w:pPr>
      <w:r w:rsidRPr="00140693">
        <w:t>冷热负荷计算：文档2《全年负荷计算书》表7.2</w:t>
      </w:r>
    </w:p>
    <w:p w14:paraId="22869BC8" w14:textId="77777777" w:rsidR="00140693" w:rsidRPr="00140693" w:rsidRDefault="00140693" w:rsidP="00140693">
      <w:pPr>
        <w:numPr>
          <w:ilvl w:val="0"/>
          <w:numId w:val="6"/>
        </w:numPr>
        <w:rPr>
          <w:rFonts w:hint="eastAsia"/>
        </w:rPr>
      </w:pPr>
      <w:r w:rsidRPr="00140693">
        <w:t>围护结构参数：文档4《建筑节能设计报告书》第4.2节</w:t>
      </w:r>
    </w:p>
    <w:p w14:paraId="211306D3" w14:textId="77777777" w:rsidR="00140693" w:rsidRPr="00140693" w:rsidRDefault="00140693" w:rsidP="00140693">
      <w:pPr>
        <w:numPr>
          <w:ilvl w:val="0"/>
          <w:numId w:val="6"/>
        </w:numPr>
        <w:rPr>
          <w:rFonts w:hint="eastAsia"/>
        </w:rPr>
      </w:pPr>
      <w:r w:rsidRPr="00140693">
        <w:t>温度修正系数：ASHRAE Standard 90.1-2019</w:t>
      </w:r>
    </w:p>
    <w:p w14:paraId="71F984D9" w14:textId="43B686DC" w:rsidR="00140693" w:rsidRPr="00140693" w:rsidRDefault="00140693" w:rsidP="00140693">
      <w:pPr>
        <w:rPr>
          <w:rFonts w:hint="eastAsia"/>
        </w:rPr>
      </w:pPr>
      <w:r w:rsidRPr="00140693">
        <w:rPr>
          <w:b/>
          <w:bCs/>
        </w:rPr>
        <w:t>设计单位</w:t>
      </w:r>
      <w:r w:rsidRPr="00140693">
        <w:t>：</w:t>
      </w:r>
      <w:r>
        <w:rPr>
          <w:rFonts w:hint="eastAsia"/>
        </w:rPr>
        <w:t>清源绿建建筑研究院</w:t>
      </w:r>
      <w:r w:rsidRPr="00140693">
        <w:br/>
      </w:r>
      <w:r w:rsidRPr="00140693">
        <w:rPr>
          <w:b/>
          <w:bCs/>
        </w:rPr>
        <w:t>日期</w:t>
      </w:r>
      <w:r w:rsidRPr="00140693">
        <w:t>：2024年</w:t>
      </w:r>
      <w:r>
        <w:rPr>
          <w:rFonts w:hint="eastAsia"/>
        </w:rPr>
        <w:t>12</w:t>
      </w:r>
      <w:r w:rsidRPr="00140693">
        <w:t>月</w:t>
      </w:r>
      <w:r>
        <w:rPr>
          <w:rFonts w:hint="eastAsia"/>
        </w:rPr>
        <w:t>20</w:t>
      </w:r>
      <w:r w:rsidRPr="00140693">
        <w:t>日</w:t>
      </w:r>
    </w:p>
    <w:p w14:paraId="251D74AA" w14:textId="77777777" w:rsidR="00A62871" w:rsidRPr="00140693" w:rsidRDefault="00A62871">
      <w:pPr>
        <w:rPr>
          <w:rFonts w:hint="eastAsia"/>
        </w:rPr>
      </w:pPr>
    </w:p>
    <w:sectPr w:rsidR="00A62871" w:rsidRPr="0014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FAF3" w14:textId="77777777" w:rsidR="00133A40" w:rsidRDefault="00133A40" w:rsidP="00140693">
      <w:pPr>
        <w:rPr>
          <w:rFonts w:hint="eastAsia"/>
        </w:rPr>
      </w:pPr>
      <w:r>
        <w:separator/>
      </w:r>
    </w:p>
  </w:endnote>
  <w:endnote w:type="continuationSeparator" w:id="0">
    <w:p w14:paraId="102A2B3A" w14:textId="77777777" w:rsidR="00133A40" w:rsidRDefault="00133A40" w:rsidP="001406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1F71" w14:textId="77777777" w:rsidR="00133A40" w:rsidRDefault="00133A40" w:rsidP="00140693">
      <w:pPr>
        <w:rPr>
          <w:rFonts w:hint="eastAsia"/>
        </w:rPr>
      </w:pPr>
      <w:r>
        <w:separator/>
      </w:r>
    </w:p>
  </w:footnote>
  <w:footnote w:type="continuationSeparator" w:id="0">
    <w:p w14:paraId="6BB12616" w14:textId="77777777" w:rsidR="00133A40" w:rsidRDefault="00133A40" w:rsidP="001406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F9D"/>
    <w:multiLevelType w:val="multilevel"/>
    <w:tmpl w:val="51D6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97623"/>
    <w:multiLevelType w:val="multilevel"/>
    <w:tmpl w:val="C306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035D9"/>
    <w:multiLevelType w:val="multilevel"/>
    <w:tmpl w:val="F80E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07346"/>
    <w:multiLevelType w:val="multilevel"/>
    <w:tmpl w:val="3D8E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E1A3A"/>
    <w:multiLevelType w:val="multilevel"/>
    <w:tmpl w:val="9694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5F6A77"/>
    <w:multiLevelType w:val="multilevel"/>
    <w:tmpl w:val="4200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834052">
    <w:abstractNumId w:val="2"/>
  </w:num>
  <w:num w:numId="2" w16cid:durableId="1503278226">
    <w:abstractNumId w:val="0"/>
  </w:num>
  <w:num w:numId="3" w16cid:durableId="190150525">
    <w:abstractNumId w:val="4"/>
  </w:num>
  <w:num w:numId="4" w16cid:durableId="878476749">
    <w:abstractNumId w:val="3"/>
  </w:num>
  <w:num w:numId="5" w16cid:durableId="1184517075">
    <w:abstractNumId w:val="5"/>
  </w:num>
  <w:num w:numId="6" w16cid:durableId="3955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65"/>
    <w:rsid w:val="000628C8"/>
    <w:rsid w:val="00101565"/>
    <w:rsid w:val="00133A40"/>
    <w:rsid w:val="00140693"/>
    <w:rsid w:val="00292AF2"/>
    <w:rsid w:val="004317F1"/>
    <w:rsid w:val="005730E8"/>
    <w:rsid w:val="007C52D7"/>
    <w:rsid w:val="007F066D"/>
    <w:rsid w:val="00836368"/>
    <w:rsid w:val="008A7170"/>
    <w:rsid w:val="00A62871"/>
    <w:rsid w:val="00AF4AFB"/>
    <w:rsid w:val="00DF1447"/>
    <w:rsid w:val="00E47889"/>
    <w:rsid w:val="00EE3513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4B94"/>
  <w15:chartTrackingRefBased/>
  <w15:docId w15:val="{0BA560B2-F472-40AD-8060-3E97173E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5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15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5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5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5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06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06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0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0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57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74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127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8374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74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161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74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5054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2025-03-01T03:07:00Z</dcterms:created>
  <dcterms:modified xsi:type="dcterms:W3CDTF">2025-03-01T03:14:00Z</dcterms:modified>
</cp:coreProperties>
</file>