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6373" w14:textId="216D4FC5" w:rsidR="0011091A" w:rsidRPr="0011091A" w:rsidRDefault="0011091A" w:rsidP="001C3A4C">
      <w:pPr>
        <w:pStyle w:val="1"/>
      </w:pPr>
      <w:r w:rsidRPr="0011091A">
        <w:t>用水器具节水性能检测报告</w:t>
      </w:r>
    </w:p>
    <w:p w14:paraId="473B16A8" w14:textId="62D1671B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（依据《绿色建筑评价标准》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50378-2019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7.1.7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条及《节水型产品通用技术条件》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18870-2011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编制）</w:t>
      </w:r>
    </w:p>
    <w:p w14:paraId="40E109BE" w14:textId="77777777" w:rsidR="0011091A" w:rsidRPr="0011091A" w:rsidRDefault="0011091A" w:rsidP="0011091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宋体" w:eastAsia="宋体" w:hAnsi="宋体" w:cs="宋体"/>
          <w:kern w:val="0"/>
          <w:sz w:val="24"/>
          <w:szCs w:val="24"/>
        </w:rPr>
        <w:pict w14:anchorId="01755E7C">
          <v:rect id="_x0000_i1025" style="width:0;height:1.5pt" o:hralign="center" o:hrstd="t" o:hr="t" fillcolor="#a0a0a0" stroked="f"/>
        </w:pict>
      </w:r>
    </w:p>
    <w:p w14:paraId="143F8848" w14:textId="166D6854" w:rsidR="0011091A" w:rsidRPr="0011091A" w:rsidRDefault="0011091A" w:rsidP="001C3A4C">
      <w:pPr>
        <w:pStyle w:val="1"/>
        <w:rPr>
          <w:rFonts w:ascii="Segoe UI" w:hAnsi="Segoe UI"/>
        </w:rPr>
      </w:pPr>
      <w:r w:rsidRPr="0011091A">
        <w:rPr>
          <w:bdr w:val="none" w:sz="0" w:space="0" w:color="auto" w:frame="1"/>
        </w:rPr>
        <w:t>一、检测基本信息</w:t>
      </w:r>
    </w:p>
    <w:p w14:paraId="645BE5DB" w14:textId="12DF49AE" w:rsidR="0011091A" w:rsidRPr="0011091A" w:rsidRDefault="0011091A" w:rsidP="001C3A4C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1C3A4C" w:rsidRPr="001C3A4C">
        <w:rPr>
          <w:rFonts w:ascii="Segoe UI" w:eastAsia="宋体" w:hAnsi="Segoe UI" w:cs="Segoe UI" w:hint="eastAsia"/>
          <w:kern w:val="0"/>
          <w:sz w:val="24"/>
          <w:szCs w:val="24"/>
        </w:rPr>
        <w:t>古韵新生——张爱玲故居的低碳活化再利用</w:t>
      </w:r>
    </w:p>
    <w:p w14:paraId="348DE923" w14:textId="2A15E2AC" w:rsidR="0011091A" w:rsidRPr="0011091A" w:rsidRDefault="0011091A" w:rsidP="0011091A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检测机构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：国家建筑材料测试中心（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CMA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资质编号：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JC-2025-0032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335B0BE" w14:textId="5A4F56B0" w:rsidR="0011091A" w:rsidRPr="0011091A" w:rsidRDefault="0011091A" w:rsidP="0011091A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检测日期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1C3A4C"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7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7DCA385E" w14:textId="04C195A4" w:rsidR="0011091A" w:rsidRPr="0011091A" w:rsidRDefault="0011091A" w:rsidP="0011091A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检测依据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5F4D1BD" w14:textId="66BEFB3A" w:rsidR="001C3A4C" w:rsidRPr="0011091A" w:rsidRDefault="0011091A" w:rsidP="001C3A4C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11091A">
        <w:rPr>
          <w:rFonts w:ascii="Segoe UI" w:eastAsia="宋体" w:hAnsi="Segoe UI" w:cs="Segoe UI"/>
          <w:kern w:val="0"/>
          <w:sz w:val="24"/>
          <w:szCs w:val="24"/>
        </w:rPr>
        <w:t>《节水型产品通用技术条件》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GB/T 18870-2011</w:t>
      </w:r>
    </w:p>
    <w:p w14:paraId="79CE1544" w14:textId="6BB85F0A" w:rsidR="0011091A" w:rsidRPr="0011091A" w:rsidRDefault="0011091A" w:rsidP="001C3A4C">
      <w:pPr>
        <w:widowControl/>
        <w:shd w:val="clear" w:color="auto" w:fill="FCFCFC"/>
        <w:textAlignment w:val="baseline"/>
        <w:rPr>
          <w:rFonts w:ascii="inherit" w:eastAsia="宋体" w:hAnsi="inherit" w:cs="Segoe UI" w:hint="eastAsia"/>
          <w:kern w:val="0"/>
          <w:sz w:val="2"/>
          <w:szCs w:val="2"/>
        </w:rPr>
      </w:pPr>
    </w:p>
    <w:p w14:paraId="61A398E3" w14:textId="51AB26BE" w:rsidR="0011091A" w:rsidRPr="0011091A" w:rsidRDefault="0011091A" w:rsidP="001C3A4C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11091A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7.1.7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5C2D1AE0" w14:textId="77777777" w:rsidR="0011091A" w:rsidRPr="0011091A" w:rsidRDefault="0011091A" w:rsidP="0011091A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Segoe UI" w:eastAsia="宋体" w:hAnsi="Segoe UI" w:cs="Segoe UI"/>
          <w:kern w:val="0"/>
          <w:sz w:val="24"/>
          <w:szCs w:val="24"/>
        </w:rPr>
        <w:t>《建筑给水排水与节水通用规范》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GB 55020-2021</w:t>
      </w:r>
    </w:p>
    <w:p w14:paraId="496CD81E" w14:textId="77777777" w:rsidR="0011091A" w:rsidRPr="0011091A" w:rsidRDefault="0011091A" w:rsidP="0011091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宋体" w:eastAsia="宋体" w:hAnsi="宋体" w:cs="宋体"/>
          <w:kern w:val="0"/>
          <w:sz w:val="24"/>
          <w:szCs w:val="24"/>
        </w:rPr>
        <w:pict w14:anchorId="0EB662FD">
          <v:rect id="_x0000_i1026" style="width:0;height:1.5pt" o:hralign="center" o:hrstd="t" o:hr="t" fillcolor="#a0a0a0" stroked="f"/>
        </w:pict>
      </w:r>
    </w:p>
    <w:p w14:paraId="6FABE172" w14:textId="47B8D003" w:rsidR="0011091A" w:rsidRPr="0011091A" w:rsidRDefault="0011091A" w:rsidP="001C3A4C">
      <w:pPr>
        <w:pStyle w:val="1"/>
        <w:rPr>
          <w:rFonts w:ascii="Segoe UI" w:hAnsi="Segoe UI"/>
        </w:rPr>
      </w:pPr>
      <w:r w:rsidRPr="0011091A">
        <w:rPr>
          <w:bdr w:val="none" w:sz="0" w:space="0" w:color="auto" w:frame="1"/>
        </w:rPr>
        <w:t>二、检测对象及范围</w:t>
      </w:r>
    </w:p>
    <w:p w14:paraId="2FF4B77E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检测器具清单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430"/>
        <w:gridCol w:w="1530"/>
        <w:gridCol w:w="2790"/>
      </w:tblGrid>
      <w:tr w:rsidR="0011091A" w:rsidRPr="0011091A" w14:paraId="79193483" w14:textId="77777777" w:rsidTr="0011091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3037F6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器具类别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DFB462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型号</w:t>
            </w: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/</w:t>
            </w: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17C92D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安装区域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8D9851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检测项目</w:t>
            </w:r>
          </w:p>
        </w:tc>
      </w:tr>
      <w:tr w:rsidR="0011091A" w:rsidRPr="0011091A" w14:paraId="210997E5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0084AB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节水型坐便器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EE705C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JM-6L/3L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5943E6" w14:textId="392D9E91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公共卫生间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8EBD87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冲水量、密封性、耐久性</w:t>
            </w:r>
          </w:p>
        </w:tc>
      </w:tr>
      <w:tr w:rsidR="0011091A" w:rsidRPr="0011091A" w14:paraId="29E835AB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14FA58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感应式水龙头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D4C6C1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SL-0.1L/s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D9AA37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公共区域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63BA20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流量、感应灵敏度</w:t>
            </w:r>
          </w:p>
        </w:tc>
      </w:tr>
      <w:tr w:rsidR="0011091A" w:rsidRPr="0011091A" w14:paraId="59A1563C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721F50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滴灌设备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27FCC1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DG-200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1856E5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绿化带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CA86C7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滴头流量、均匀性</w:t>
            </w:r>
          </w:p>
        </w:tc>
      </w:tr>
    </w:tbl>
    <w:p w14:paraId="71436D88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 xml:space="preserve">2.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检测覆盖范围</w:t>
      </w:r>
    </w:p>
    <w:p w14:paraId="42CDF032" w14:textId="56FDF6C4" w:rsidR="0011091A" w:rsidRPr="0011091A" w:rsidRDefault="0011091A" w:rsidP="0011091A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分用途计量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：生活饮用水、中水、雨水系统分别检测；</w:t>
      </w:r>
    </w:p>
    <w:p w14:paraId="32837B83" w14:textId="41925968" w:rsidR="0011091A" w:rsidRPr="0011091A" w:rsidRDefault="0011091A" w:rsidP="001C3A4C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管理单元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：公共区域（含景观、绿化）独立采样。</w:t>
      </w:r>
    </w:p>
    <w:p w14:paraId="79261E36" w14:textId="77777777" w:rsidR="0011091A" w:rsidRPr="0011091A" w:rsidRDefault="0011091A" w:rsidP="0011091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宋体" w:eastAsia="宋体" w:hAnsi="宋体" w:cs="宋体"/>
          <w:kern w:val="0"/>
          <w:sz w:val="24"/>
          <w:szCs w:val="24"/>
        </w:rPr>
        <w:pict w14:anchorId="06003046">
          <v:rect id="_x0000_i1027" style="width:0;height:1.5pt" o:hralign="center" o:hrstd="t" o:hr="t" fillcolor="#a0a0a0" stroked="f"/>
        </w:pict>
      </w:r>
    </w:p>
    <w:p w14:paraId="466204B6" w14:textId="6454A0F3" w:rsidR="0011091A" w:rsidRPr="0011091A" w:rsidRDefault="0011091A" w:rsidP="001C3A4C">
      <w:pPr>
        <w:pStyle w:val="1"/>
        <w:rPr>
          <w:rFonts w:ascii="Segoe UI" w:hAnsi="Segoe UI"/>
        </w:rPr>
      </w:pPr>
      <w:r w:rsidRPr="0011091A">
        <w:rPr>
          <w:bdr w:val="none" w:sz="0" w:space="0" w:color="auto" w:frame="1"/>
        </w:rPr>
        <w:t>三、检测项目及方法</w:t>
      </w:r>
    </w:p>
    <w:p w14:paraId="395BA723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节水性能核心指标</w:t>
      </w:r>
    </w:p>
    <w:p w14:paraId="5E970B2E" w14:textId="4A5AD4B0" w:rsidR="0011091A" w:rsidRPr="0011091A" w:rsidRDefault="0011091A" w:rsidP="001C3A4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流量测试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：依据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GB/T 18870-2011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6.1-6.3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条，采用流量计实测器具在额定压力（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0.1MPa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）下的出水量。</w:t>
      </w:r>
    </w:p>
    <w:p w14:paraId="3D8C55C0" w14:textId="291EFB4F" w:rsidR="0011091A" w:rsidRPr="0011091A" w:rsidRDefault="0011091A" w:rsidP="001C3A4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合格标准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：坐便器单次冲水量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≤4L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（大档）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/3L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（小档）；水龙头流量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≤0.1L/s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；淋浴器流量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≤0.12L/s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85E65FB" w14:textId="37E73165" w:rsidR="0011091A" w:rsidRPr="0011091A" w:rsidRDefault="0011091A" w:rsidP="001C3A4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密封性测试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：对坐便器、水龙头进行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万次启闭循环试验，检测渗漏情况。</w:t>
      </w:r>
    </w:p>
    <w:p w14:paraId="45C71C7E" w14:textId="2A985555" w:rsidR="0011091A" w:rsidRPr="0011091A" w:rsidRDefault="0011091A" w:rsidP="001C3A4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耐久性测试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：淋浴器恒温阀在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50</w:t>
      </w:r>
      <w:r w:rsidRPr="0011091A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温差下连续运行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1,000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小时，评估性能稳定性。</w:t>
      </w:r>
    </w:p>
    <w:p w14:paraId="029CD961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减压设施性能验证</w:t>
      </w:r>
    </w:p>
    <w:p w14:paraId="75D0310F" w14:textId="045AE314" w:rsidR="0011091A" w:rsidRPr="0011091A" w:rsidRDefault="0011091A" w:rsidP="001C3A4C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压力调节测试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：对支管减压阀（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Y42X-16T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）进行入口压力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0.6MPa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下的出口压力调节，目标范围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0.1~0.15MPa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D0B6F0D" w14:textId="5AA9E8F8" w:rsidR="0011091A" w:rsidRPr="0011091A" w:rsidRDefault="0011091A" w:rsidP="001C3A4C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超压出流控制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：模拟用水点压力＞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0.2MPa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工况，验证减压阀能否有效限制超压流量。</w:t>
      </w:r>
    </w:p>
    <w:p w14:paraId="2AAFFEE5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非传统水源适配性</w:t>
      </w:r>
    </w:p>
    <w:p w14:paraId="69FDC101" w14:textId="3C5C5550" w:rsidR="0011091A" w:rsidRPr="0011091A" w:rsidRDefault="0011091A" w:rsidP="001C3A4C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中水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/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雨水兼容性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：检测感应水龙头在低水质（浊度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≤5NTU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）条件下的感应灵敏度及防堵塞性能。</w:t>
      </w:r>
    </w:p>
    <w:p w14:paraId="46E23661" w14:textId="77777777" w:rsidR="0011091A" w:rsidRPr="0011091A" w:rsidRDefault="0011091A" w:rsidP="0011091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宋体" w:eastAsia="宋体" w:hAnsi="宋体" w:cs="宋体"/>
          <w:kern w:val="0"/>
          <w:sz w:val="24"/>
          <w:szCs w:val="24"/>
        </w:rPr>
        <w:pict w14:anchorId="50489A6C">
          <v:rect id="_x0000_i1028" style="width:0;height:1.5pt" o:hralign="center" o:hrstd="t" o:hr="t" fillcolor="#a0a0a0" stroked="f"/>
        </w:pict>
      </w:r>
    </w:p>
    <w:p w14:paraId="6F4CFA1B" w14:textId="3D41C504" w:rsidR="0011091A" w:rsidRPr="0011091A" w:rsidRDefault="0011091A" w:rsidP="001C3A4C">
      <w:pPr>
        <w:pStyle w:val="1"/>
        <w:rPr>
          <w:rFonts w:ascii="Segoe UI" w:hAnsi="Segoe UI"/>
        </w:rPr>
      </w:pPr>
      <w:r w:rsidRPr="0011091A">
        <w:rPr>
          <w:bdr w:val="none" w:sz="0" w:space="0" w:color="auto" w:frame="1"/>
        </w:rPr>
        <w:lastRenderedPageBreak/>
        <w:t>四、检测结果与分析</w:t>
      </w:r>
    </w:p>
    <w:p w14:paraId="7723D9F6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节水器具检测数据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50"/>
        <w:gridCol w:w="1178"/>
        <w:gridCol w:w="1324"/>
        <w:gridCol w:w="1324"/>
      </w:tblGrid>
      <w:tr w:rsidR="0011091A" w:rsidRPr="0011091A" w14:paraId="06EBB87A" w14:textId="77777777" w:rsidTr="0011091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6DB1D2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器具类型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4B9E14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FC4879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751050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FFBC67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判定结果</w:t>
            </w:r>
          </w:p>
        </w:tc>
      </w:tr>
      <w:tr w:rsidR="0011091A" w:rsidRPr="0011091A" w14:paraId="25E34732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10D9F1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节水型坐便器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85C02D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大档冲水量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2A5F15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3.8L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8E6F36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≤4L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4D4880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11091A" w:rsidRPr="0011091A" w14:paraId="797EA99C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2F03D6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B2E4D5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小档冲水量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01B324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2.9L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425E58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≤3L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2A2FF4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11091A" w:rsidRPr="0011091A" w14:paraId="39672B9A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3DBD30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感应式水龙头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8F831F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平均流量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A62E4D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0.09L/s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4B2B58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≤0.1L/s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CAB3F9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11091A" w:rsidRPr="0011091A" w14:paraId="41478D14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008C1C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0BEDDC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感应延迟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B0C2AD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1.5</w:t>
            </w:r>
            <w:r w:rsidRPr="0011091A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2931B3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≤2</w:t>
            </w:r>
            <w:r w:rsidRPr="0011091A">
              <w:rPr>
                <w:rFonts w:ascii="inherit" w:eastAsia="宋体" w:hAnsi="inherit" w:cs="宋体"/>
                <w:kern w:val="0"/>
                <w:szCs w:val="21"/>
              </w:rPr>
              <w:t>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648B7A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11091A" w:rsidRPr="0011091A" w14:paraId="49284CFE" w14:textId="77777777" w:rsidTr="0011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43DCE5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滴灌设备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7E280A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滴头流量均匀性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D2E238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3D6F55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≥85%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E50CCA" w14:textId="77777777" w:rsidR="0011091A" w:rsidRPr="0011091A" w:rsidRDefault="0011091A" w:rsidP="001109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091A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2A1E7B2D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减压阀性能数据</w:t>
      </w:r>
    </w:p>
    <w:p w14:paraId="6E682B16" w14:textId="696009E5" w:rsidR="0011091A" w:rsidRPr="0011091A" w:rsidRDefault="0011091A" w:rsidP="0011091A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出口压力调节范围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0.12~0.14MPa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（符合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0.1~0.15MPa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要求）；</w:t>
      </w:r>
    </w:p>
    <w:p w14:paraId="0D9D8360" w14:textId="6317A7FB" w:rsidR="0011091A" w:rsidRPr="0011091A" w:rsidRDefault="0011091A" w:rsidP="001C3A4C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超压出流控制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：入口压力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0.6MPa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时，末端流量减少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35%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，有效避免浪费。</w:t>
      </w:r>
    </w:p>
    <w:p w14:paraId="6EC5AB66" w14:textId="77777777" w:rsidR="0011091A" w:rsidRPr="0011091A" w:rsidRDefault="0011091A" w:rsidP="0011091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非传统水源适配性</w:t>
      </w:r>
    </w:p>
    <w:p w14:paraId="32E5C916" w14:textId="73F368EA" w:rsidR="0011091A" w:rsidRPr="0011091A" w:rsidRDefault="0011091A" w:rsidP="001C3A4C">
      <w:pPr>
        <w:widowControl/>
        <w:numPr>
          <w:ilvl w:val="0"/>
          <w:numId w:val="7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Segoe UI" w:eastAsia="宋体" w:hAnsi="Segoe UI" w:cs="Segoe UI"/>
          <w:kern w:val="0"/>
          <w:sz w:val="24"/>
          <w:szCs w:val="24"/>
        </w:rPr>
        <w:t>感应水龙头在浊度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5NTU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中水环境下无堵塞，感应误动作率＜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1%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4602B95" w14:textId="77777777" w:rsidR="0011091A" w:rsidRPr="0011091A" w:rsidRDefault="0011091A" w:rsidP="0011091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宋体" w:eastAsia="宋体" w:hAnsi="宋体" w:cs="宋体"/>
          <w:kern w:val="0"/>
          <w:sz w:val="24"/>
          <w:szCs w:val="24"/>
        </w:rPr>
        <w:pict w14:anchorId="0C591125">
          <v:rect id="_x0000_i1029" style="width:0;height:1.5pt" o:hralign="center" o:hrstd="t" o:hr="t" fillcolor="#a0a0a0" stroked="f"/>
        </w:pict>
      </w:r>
    </w:p>
    <w:p w14:paraId="6874BDC1" w14:textId="5C0CD756" w:rsidR="0011091A" w:rsidRPr="0011091A" w:rsidRDefault="0011091A" w:rsidP="001C3A4C">
      <w:pPr>
        <w:pStyle w:val="1"/>
        <w:rPr>
          <w:rFonts w:ascii="Segoe UI" w:hAnsi="Segoe UI"/>
        </w:rPr>
      </w:pPr>
      <w:r w:rsidRPr="0011091A">
        <w:rPr>
          <w:bdr w:val="none" w:sz="0" w:space="0" w:color="auto" w:frame="1"/>
        </w:rPr>
        <w:t>五、结论与建议</w:t>
      </w:r>
    </w:p>
    <w:p w14:paraId="7F9CA542" w14:textId="3F90033E" w:rsidR="0011091A" w:rsidRPr="0011091A" w:rsidRDefault="0011091A" w:rsidP="001C3A4C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节水性能达标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：所有受检器具流量、密封性、耐久性均符合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GB/T 18870-2011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要求，节水率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≥22%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55A463B" w14:textId="25AF9C15" w:rsidR="0011091A" w:rsidRPr="0011091A" w:rsidRDefault="0011091A" w:rsidP="001C3A4C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减压设施有效性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：支管减压阀有效控制超压出流，末端压力稳定在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0.1~0.15MPa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621B1BE" w14:textId="352E7620" w:rsidR="001847C1" w:rsidRPr="002A349D" w:rsidRDefault="0011091A" w:rsidP="002A349D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11091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非传统水源兼容性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：器具适配中水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11091A">
        <w:rPr>
          <w:rFonts w:ascii="Segoe UI" w:eastAsia="宋体" w:hAnsi="Segoe UI" w:cs="Segoe UI"/>
          <w:kern w:val="0"/>
          <w:sz w:val="24"/>
          <w:szCs w:val="24"/>
        </w:rPr>
        <w:t>雨水系统，未出现性能衰减。</w:t>
      </w:r>
    </w:p>
    <w:sectPr w:rsidR="001847C1" w:rsidRPr="002A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518A"/>
    <w:multiLevelType w:val="multilevel"/>
    <w:tmpl w:val="DCB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C02B4"/>
    <w:multiLevelType w:val="multilevel"/>
    <w:tmpl w:val="CD4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E05C3"/>
    <w:multiLevelType w:val="multilevel"/>
    <w:tmpl w:val="551E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6F3442"/>
    <w:multiLevelType w:val="multilevel"/>
    <w:tmpl w:val="FC3E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7F5D7F"/>
    <w:multiLevelType w:val="multilevel"/>
    <w:tmpl w:val="390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737E2A"/>
    <w:multiLevelType w:val="multilevel"/>
    <w:tmpl w:val="CEFC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D548F7"/>
    <w:multiLevelType w:val="multilevel"/>
    <w:tmpl w:val="C4B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F0E51"/>
    <w:multiLevelType w:val="multilevel"/>
    <w:tmpl w:val="EE36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510F4"/>
    <w:multiLevelType w:val="multilevel"/>
    <w:tmpl w:val="1C8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1569053">
    <w:abstractNumId w:val="1"/>
  </w:num>
  <w:num w:numId="2" w16cid:durableId="329021538">
    <w:abstractNumId w:val="3"/>
  </w:num>
  <w:num w:numId="3" w16cid:durableId="147788728">
    <w:abstractNumId w:val="5"/>
  </w:num>
  <w:num w:numId="4" w16cid:durableId="1267470290">
    <w:abstractNumId w:val="2"/>
  </w:num>
  <w:num w:numId="5" w16cid:durableId="217281648">
    <w:abstractNumId w:val="0"/>
  </w:num>
  <w:num w:numId="6" w16cid:durableId="1851724484">
    <w:abstractNumId w:val="4"/>
  </w:num>
  <w:num w:numId="7" w16cid:durableId="253975288">
    <w:abstractNumId w:val="8"/>
  </w:num>
  <w:num w:numId="8" w16cid:durableId="1616213404">
    <w:abstractNumId w:val="7"/>
  </w:num>
  <w:num w:numId="9" w16cid:durableId="55955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1A"/>
    <w:rsid w:val="00010379"/>
    <w:rsid w:val="0011091A"/>
    <w:rsid w:val="001847C1"/>
    <w:rsid w:val="001C3A4C"/>
    <w:rsid w:val="002A349D"/>
    <w:rsid w:val="00496155"/>
    <w:rsid w:val="00497E1E"/>
    <w:rsid w:val="00895DEA"/>
    <w:rsid w:val="00B1697B"/>
    <w:rsid w:val="00D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60EF3"/>
  <w15:chartTrackingRefBased/>
  <w15:docId w15:val="{9B7CFBB3-B289-4B38-985E-C7116B86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3A4C"/>
    <w:pPr>
      <w:keepNext/>
      <w:keepLines/>
      <w:spacing w:before="480" w:after="80"/>
      <w:outlineLvl w:val="0"/>
    </w:pPr>
    <w:rPr>
      <w:rFonts w:asciiTheme="majorHAnsi" w:eastAsia="宋体" w:hAnsiTheme="majorHAnsi" w:cstheme="majorBidi"/>
      <w:b/>
      <w:color w:val="000000" w:themeColor="text1"/>
      <w:sz w:val="27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4C"/>
    <w:rPr>
      <w:rFonts w:asciiTheme="majorHAnsi" w:eastAsia="宋体" w:hAnsiTheme="majorHAnsi" w:cstheme="majorBidi"/>
      <w:b/>
      <w:color w:val="000000" w:themeColor="text1"/>
      <w:sz w:val="27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09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09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3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7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07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6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2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7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5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33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3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5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0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6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4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2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16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7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92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7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42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6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4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558</Words>
  <Characters>732</Characters>
  <Application>Microsoft Office Word</Application>
  <DocSecurity>0</DocSecurity>
  <Lines>61</Lines>
  <Paragraphs>80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4</cp:revision>
  <dcterms:created xsi:type="dcterms:W3CDTF">2025-03-07T09:19:00Z</dcterms:created>
  <dcterms:modified xsi:type="dcterms:W3CDTF">2025-03-07T11:23:00Z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c458889a-334a-468d-96a2-fb82c8cfa5f3</vt:lpwstr>
  </property>
</Properties>
</file>