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FF22" w14:textId="77777777" w:rsidR="008F7411" w:rsidRPr="008F7411" w:rsidRDefault="008F7411" w:rsidP="008F7411">
      <w:pPr>
        <w:widowControl/>
        <w:shd w:val="clear" w:color="auto" w:fill="FCFCFC"/>
        <w:spacing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8F7411">
        <w:rPr>
          <w:rFonts w:ascii="Segoe UI" w:eastAsia="宋体" w:hAnsi="Segoe UI" w:cs="Segoe UI"/>
          <w:b/>
          <w:bCs/>
          <w:kern w:val="0"/>
          <w:sz w:val="27"/>
          <w:szCs w:val="27"/>
        </w:rPr>
        <w:t>绿色建筑设计文件</w:t>
      </w:r>
    </w:p>
    <w:p w14:paraId="5CA5B170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（基于《建筑节能与可再生能源利用通用规范》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 55015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及绿建条文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7.2.8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评价）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5B94F9B7" w14:textId="77777777" w:rsidR="008F7411" w:rsidRPr="008F7411" w:rsidRDefault="008F7411" w:rsidP="008F741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宋体" w:eastAsia="宋体" w:hAnsi="宋体" w:cs="宋体"/>
          <w:kern w:val="0"/>
          <w:sz w:val="24"/>
          <w:szCs w:val="24"/>
        </w:rPr>
        <w:pict w14:anchorId="45274B12">
          <v:rect id="_x0000_i1025" style="width:0;height:1.5pt" o:hralign="center" o:hrstd="t" o:hr="t" fillcolor="#a0a0a0" stroked="f"/>
        </w:pict>
      </w:r>
    </w:p>
    <w:p w14:paraId="7D3CCE20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一、项目概况</w:t>
      </w:r>
    </w:p>
    <w:p w14:paraId="20BC8A01" w14:textId="77777777" w:rsidR="008F7411" w:rsidRPr="008F7411" w:rsidRDefault="008F7411" w:rsidP="008F741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</w:p>
    <w:p w14:paraId="7C06FCE2" w14:textId="77777777" w:rsidR="008F7411" w:rsidRPr="008F7411" w:rsidRDefault="008F7411" w:rsidP="008F741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工程地点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：浙江绍兴</w:t>
      </w:r>
    </w:p>
    <w:p w14:paraId="332076F8" w14:textId="77777777" w:rsidR="008F7411" w:rsidRPr="008F7411" w:rsidRDefault="008F7411" w:rsidP="008F741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气候分区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：夏热冬冷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A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区</w:t>
      </w:r>
    </w:p>
    <w:p w14:paraId="7F80CE26" w14:textId="77777777" w:rsidR="008F7411" w:rsidRPr="008F7411" w:rsidRDefault="008F7411" w:rsidP="008F741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建筑面积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：地上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966m²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，地下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0m²</w:t>
      </w:r>
    </w:p>
    <w:p w14:paraId="0B7181A4" w14:textId="77777777" w:rsidR="008F7411" w:rsidRPr="008F7411" w:rsidRDefault="008F7411" w:rsidP="008F741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建筑层数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：地上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层，地下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0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层</w:t>
      </w:r>
    </w:p>
    <w:p w14:paraId="1C87318B" w14:textId="77777777" w:rsidR="008F7411" w:rsidRPr="008F7411" w:rsidRDefault="008F7411" w:rsidP="008F741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节能设计标准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：《浙江省公共建筑节能设计标准》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DB33/1036-2021</w:t>
      </w:r>
    </w:p>
    <w:p w14:paraId="0984677C" w14:textId="77777777" w:rsidR="008F7411" w:rsidRPr="008F7411" w:rsidRDefault="008F7411" w:rsidP="008F741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宋体" w:eastAsia="宋体" w:hAnsi="宋体" w:cs="宋体"/>
          <w:kern w:val="0"/>
          <w:sz w:val="24"/>
          <w:szCs w:val="24"/>
        </w:rPr>
        <w:pict w14:anchorId="0F77DB44">
          <v:rect id="_x0000_i1026" style="width:0;height:1.5pt" o:hralign="center" o:hrstd="t" o:hr="t" fillcolor="#a0a0a0" stroked="f"/>
        </w:pict>
      </w:r>
    </w:p>
    <w:p w14:paraId="3782A630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二、能耗降低目标与评分依据</w:t>
      </w:r>
    </w:p>
    <w:p w14:paraId="2A2E4460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根据《绿色建筑评价标准》第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7.2.8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条，本项目选择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建筑设计能耗降低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作为评价路径，目标为：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br/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相比《建筑节能与可再生能源利用通用规范》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 55015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，设计能耗降低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15%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，满足最高得分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分要求。</w:t>
      </w:r>
    </w:p>
    <w:p w14:paraId="4C01CE8C" w14:textId="77777777" w:rsidR="008F7411" w:rsidRPr="008F7411" w:rsidRDefault="008F7411" w:rsidP="008F741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宋体" w:eastAsia="宋体" w:hAnsi="宋体" w:cs="宋体"/>
          <w:kern w:val="0"/>
          <w:sz w:val="24"/>
          <w:szCs w:val="24"/>
        </w:rPr>
        <w:pict w14:anchorId="04237E7F">
          <v:rect id="_x0000_i1027" style="width:0;height:1.5pt" o:hralign="center" o:hrstd="t" o:hr="t" fillcolor="#a0a0a0" stroked="f"/>
        </w:pict>
      </w:r>
    </w:p>
    <w:p w14:paraId="7C5DA91F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三、关键节能措施与性能分析</w:t>
      </w:r>
    </w:p>
    <w:p w14:paraId="302E096B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8F7411">
        <w:rPr>
          <w:rFonts w:ascii="Segoe UI" w:eastAsia="宋体" w:hAnsi="Segoe UI" w:cs="Segoe UI"/>
          <w:b/>
          <w:bCs/>
          <w:kern w:val="0"/>
          <w:sz w:val="20"/>
          <w:szCs w:val="20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 xml:space="preserve">1. 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围护结构优化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484"/>
        <w:gridCol w:w="2737"/>
        <w:gridCol w:w="1270"/>
      </w:tblGrid>
      <w:tr w:rsidR="008F7411" w:rsidRPr="008F7411" w14:paraId="2C9637DA" w14:textId="77777777" w:rsidTr="008F741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2C0AC9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部位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A6B4B6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设计参数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6F6EFA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对比</w:t>
            </w: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GB 55015</w:t>
            </w: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基准值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0143E3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节能贡献率</w:t>
            </w:r>
          </w:p>
        </w:tc>
      </w:tr>
      <w:tr w:rsidR="008F7411" w:rsidRPr="008F7411" w14:paraId="1A29790A" w14:textId="77777777" w:rsidTr="008F74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E97E9D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屋顶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AB0D66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传热系数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K=0.188 W/(m²·K)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2DDD05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国标限值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K≤0.40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（夏热冬冷区）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84CFEC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降低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53%</w:t>
            </w:r>
          </w:p>
        </w:tc>
      </w:tr>
      <w:tr w:rsidR="008F7411" w:rsidRPr="008F7411" w14:paraId="57FCE3FB" w14:textId="77777777" w:rsidTr="008F74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15221D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lastRenderedPageBreak/>
              <w:t>​</w:t>
            </w: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外墙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CA9630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主墙体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K=0.251 W/(m²·K)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，热桥节点专项处理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F09F9A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国标限值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K≤0.60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27D401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降低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58%</w:t>
            </w:r>
          </w:p>
        </w:tc>
      </w:tr>
      <w:tr w:rsidR="008F7411" w:rsidRPr="008F7411" w14:paraId="1542A761" w14:textId="77777777" w:rsidTr="008F74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C3082D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外窗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1D60B8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三玻两腔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Low-E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中空窗，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K=1.30 W/(m²·K)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14396E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国标限值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K≤2.40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EBE87C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降低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46%</w:t>
            </w:r>
          </w:p>
        </w:tc>
      </w:tr>
      <w:tr w:rsidR="008F7411" w:rsidRPr="008F7411" w14:paraId="710ABF64" w14:textId="77777777" w:rsidTr="008F74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1BEEE8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8F7411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天窗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FA91CBC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SHGC=0.24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，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K=1.30 W/(m²·K)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C04C10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国标限值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SHGC≤0.30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，</w:t>
            </w:r>
            <w:r w:rsidRPr="008F7411">
              <w:rPr>
                <w:rFonts w:ascii="inherit" w:eastAsia="宋体" w:hAnsi="inherit" w:cs="宋体"/>
                <w:kern w:val="0"/>
                <w:szCs w:val="21"/>
              </w:rPr>
              <w:t>K≤2.00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D32CDB8" w14:textId="77777777" w:rsidR="008F7411" w:rsidRPr="008F7411" w:rsidRDefault="008F7411" w:rsidP="008F7411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8F7411">
              <w:rPr>
                <w:rFonts w:ascii="inherit" w:eastAsia="宋体" w:hAnsi="inherit" w:cs="宋体"/>
                <w:kern w:val="0"/>
                <w:szCs w:val="21"/>
              </w:rPr>
              <w:t>综合优化</w:t>
            </w:r>
          </w:p>
        </w:tc>
      </w:tr>
    </w:tbl>
    <w:p w14:paraId="445D5E55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8F7411">
        <w:rPr>
          <w:rFonts w:ascii="Segoe UI" w:eastAsia="宋体" w:hAnsi="Segoe UI" w:cs="Segoe UI"/>
          <w:b/>
          <w:bCs/>
          <w:kern w:val="0"/>
          <w:sz w:val="20"/>
          <w:szCs w:val="20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 xml:space="preserve">2. 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热桥控制技术</w:t>
      </w:r>
    </w:p>
    <w:p w14:paraId="4CF8B839" w14:textId="77777777" w:rsidR="008F7411" w:rsidRPr="008F7411" w:rsidRDefault="008F7411" w:rsidP="008F7411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采用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真空绝热板（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VIP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（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λ=0.005 W/(m·K)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）减少结构性热桥影响。</w:t>
      </w:r>
    </w:p>
    <w:p w14:paraId="7CC03846" w14:textId="77777777" w:rsidR="008F7411" w:rsidRPr="008F7411" w:rsidRDefault="008F7411" w:rsidP="008F7411">
      <w:pPr>
        <w:widowControl/>
        <w:numPr>
          <w:ilvl w:val="0"/>
          <w:numId w:val="2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线性热桥传热系数均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≤0.284 W/(m·K)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，总热桥能耗占比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≤3%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（优于国标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5%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限值）。</w:t>
      </w:r>
    </w:p>
    <w:p w14:paraId="753BBFE6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8F7411">
        <w:rPr>
          <w:rFonts w:ascii="Segoe UI" w:eastAsia="宋体" w:hAnsi="Segoe UI" w:cs="Segoe UI"/>
          <w:b/>
          <w:bCs/>
          <w:kern w:val="0"/>
          <w:sz w:val="20"/>
          <w:szCs w:val="20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 xml:space="preserve">3. 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自然通风与采光</w:t>
      </w:r>
    </w:p>
    <w:p w14:paraId="103DDF1B" w14:textId="77777777" w:rsidR="008F7411" w:rsidRPr="008F7411" w:rsidRDefault="008F7411" w:rsidP="008F7411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有效通风换气面积比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28%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，利用天窗与高窗设计增强自然通风。</w:t>
      </w:r>
    </w:p>
    <w:p w14:paraId="30A4CEB9" w14:textId="77777777" w:rsidR="008F7411" w:rsidRPr="008F7411" w:rsidRDefault="008F7411" w:rsidP="008F7411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可见光透射比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0.62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（南、北向），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0.60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（东、西向），减少人工照明需求。</w:t>
      </w:r>
    </w:p>
    <w:p w14:paraId="3D9B66B9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8F7411">
        <w:rPr>
          <w:rFonts w:ascii="Segoe UI" w:eastAsia="宋体" w:hAnsi="Segoe UI" w:cs="Segoe UI"/>
          <w:b/>
          <w:bCs/>
          <w:kern w:val="0"/>
          <w:sz w:val="20"/>
          <w:szCs w:val="20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 xml:space="preserve">4. </w:t>
      </w:r>
      <w:r w:rsidRPr="008F7411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可再生能源利用</w:t>
      </w:r>
    </w:p>
    <w:p w14:paraId="0DC0A70B" w14:textId="77777777" w:rsidR="008F7411" w:rsidRPr="008F7411" w:rsidRDefault="008F7411" w:rsidP="008F7411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屋顶预留光伏系统安装条件，预计年发电量占比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≥5%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2D510B0" w14:textId="77777777" w:rsidR="008F7411" w:rsidRPr="008F7411" w:rsidRDefault="008F7411" w:rsidP="008F741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宋体" w:eastAsia="宋体" w:hAnsi="宋体" w:cs="宋体"/>
          <w:kern w:val="0"/>
          <w:sz w:val="24"/>
          <w:szCs w:val="24"/>
        </w:rPr>
        <w:pict w14:anchorId="60B889DA">
          <v:rect id="_x0000_i1028" style="width:0;height:1.5pt" o:hralign="center" o:hrstd="t" o:hr="t" fillcolor="#a0a0a0" stroked="f"/>
        </w:pict>
      </w:r>
    </w:p>
    <w:p w14:paraId="32EDF28D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四、能耗模拟与对比验证</w:t>
      </w:r>
    </w:p>
    <w:p w14:paraId="6D7ED10E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通过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BECS2024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软件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进行能耗模拟，结果显示：</w:t>
      </w:r>
    </w:p>
    <w:p w14:paraId="3526EB04" w14:textId="77777777" w:rsidR="008F7411" w:rsidRPr="008F7411" w:rsidRDefault="008F7411" w:rsidP="008F7411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设计建筑年能耗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48.6 kWh/m²</w:t>
      </w:r>
    </w:p>
    <w:p w14:paraId="3112C5B5" w14:textId="77777777" w:rsidR="008F7411" w:rsidRPr="008F7411" w:rsidRDefault="008F7411" w:rsidP="008F7411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 55015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基准建筑年能耗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57.2 kWh/m²</w:t>
      </w:r>
    </w:p>
    <w:p w14:paraId="38376EA5" w14:textId="77777777" w:rsidR="008F7411" w:rsidRPr="008F7411" w:rsidRDefault="008F7411" w:rsidP="008F7411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能耗降低率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​**15.0%**​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（满足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分要求）</w:t>
      </w:r>
    </w:p>
    <w:p w14:paraId="419C8B21" w14:textId="77777777" w:rsidR="008F7411" w:rsidRPr="008F7411" w:rsidRDefault="008F7411" w:rsidP="008F741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宋体" w:eastAsia="宋体" w:hAnsi="宋体" w:cs="宋体"/>
          <w:kern w:val="0"/>
          <w:sz w:val="24"/>
          <w:szCs w:val="24"/>
        </w:rPr>
        <w:pict w14:anchorId="228D677C">
          <v:rect id="_x0000_i1029" style="width:0;height:1.5pt" o:hralign="center" o:hrstd="t" o:hr="t" fillcolor="#a0a0a0" stroked="f"/>
        </w:pict>
      </w:r>
    </w:p>
    <w:p w14:paraId="2D924D00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五、得分结论与证明材料</w:t>
      </w:r>
    </w:p>
    <w:p w14:paraId="60A0D4EF" w14:textId="77777777" w:rsidR="008F7411" w:rsidRPr="008F7411" w:rsidRDefault="008F7411" w:rsidP="008F7411">
      <w:pPr>
        <w:widowControl/>
        <w:numPr>
          <w:ilvl w:val="0"/>
          <w:numId w:val="6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得分依据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515D029" w14:textId="77777777" w:rsidR="008F7411" w:rsidRPr="008F7411" w:rsidRDefault="008F7411" w:rsidP="008F7411">
      <w:pPr>
        <w:widowControl/>
        <w:numPr>
          <w:ilvl w:val="1"/>
          <w:numId w:val="6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建筑设计能耗相比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GB 55015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降低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15%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，符合《绿色建筑评价标准》第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7.2.8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条最高得分要求。</w:t>
      </w:r>
    </w:p>
    <w:p w14:paraId="00DF67A0" w14:textId="77777777" w:rsidR="008F7411" w:rsidRPr="008F7411" w:rsidRDefault="008F7411" w:rsidP="008F7411">
      <w:pPr>
        <w:widowControl/>
        <w:numPr>
          <w:ilvl w:val="1"/>
          <w:numId w:val="6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关键数据详见《建筑节能设计报告书》第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4-5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章（围护结构性能、权衡判断结论）。</w:t>
      </w:r>
    </w:p>
    <w:p w14:paraId="1597177B" w14:textId="77777777" w:rsidR="008F7411" w:rsidRPr="008F7411" w:rsidRDefault="008F7411" w:rsidP="008F7411">
      <w:pPr>
        <w:widowControl/>
        <w:numPr>
          <w:ilvl w:val="0"/>
          <w:numId w:val="6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证明材料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06C7F8E" w14:textId="77777777" w:rsidR="008F7411" w:rsidRPr="008F7411" w:rsidRDefault="008F7411" w:rsidP="008F7411">
      <w:pPr>
        <w:widowControl/>
        <w:numPr>
          <w:ilvl w:val="1"/>
          <w:numId w:val="6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节能计算模型（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BECS2024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软件输出文件）</w:t>
      </w:r>
    </w:p>
    <w:p w14:paraId="3D6666EE" w14:textId="77777777" w:rsidR="008F7411" w:rsidRPr="008F7411" w:rsidRDefault="008F7411" w:rsidP="008F7411">
      <w:pPr>
        <w:widowControl/>
        <w:numPr>
          <w:ilvl w:val="1"/>
          <w:numId w:val="6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热工节点详图（热桥处理、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VIP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安装构造）</w:t>
      </w:r>
    </w:p>
    <w:p w14:paraId="1C878FAE" w14:textId="77777777" w:rsidR="008F7411" w:rsidRPr="008F7411" w:rsidRDefault="008F7411" w:rsidP="008F7411">
      <w:pPr>
        <w:widowControl/>
        <w:numPr>
          <w:ilvl w:val="1"/>
          <w:numId w:val="6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可再生能源专项设计说明</w:t>
      </w:r>
    </w:p>
    <w:p w14:paraId="179FCA2C" w14:textId="77777777" w:rsidR="008F7411" w:rsidRPr="008F7411" w:rsidRDefault="008F7411" w:rsidP="008F741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宋体" w:eastAsia="宋体" w:hAnsi="宋体" w:cs="宋体"/>
          <w:kern w:val="0"/>
          <w:sz w:val="24"/>
          <w:szCs w:val="24"/>
        </w:rPr>
        <w:pict w14:anchorId="25C7BA1E">
          <v:rect id="_x0000_i1030" style="width:0;height:1.5pt" o:hralign="center" o:hrstd="t" o:hr="t" fillcolor="#a0a0a0" stroked="f"/>
        </w:pict>
      </w:r>
    </w:p>
    <w:p w14:paraId="681BCA28" w14:textId="77777777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六、下一步优化建议</w:t>
      </w:r>
    </w:p>
    <w:p w14:paraId="0D274803" w14:textId="77777777" w:rsidR="008F7411" w:rsidRPr="008F7411" w:rsidRDefault="008F7411" w:rsidP="008F7411">
      <w:pPr>
        <w:widowControl/>
        <w:numPr>
          <w:ilvl w:val="0"/>
          <w:numId w:val="7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深化光伏系统设计，提升可再生能源贡献率至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10%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370248A6" w14:textId="77777777" w:rsidR="008F7411" w:rsidRPr="008F7411" w:rsidRDefault="008F7411" w:rsidP="008F7411">
      <w:pPr>
        <w:widowControl/>
        <w:numPr>
          <w:ilvl w:val="0"/>
          <w:numId w:val="7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Segoe UI" w:eastAsia="宋体" w:hAnsi="Segoe UI" w:cs="Segoe UI"/>
          <w:kern w:val="0"/>
          <w:sz w:val="24"/>
          <w:szCs w:val="24"/>
        </w:rPr>
        <w:t>采用智能遮阳系统进一步降低夏季空调负荷。</w:t>
      </w:r>
    </w:p>
    <w:p w14:paraId="6DA9CC90" w14:textId="77777777" w:rsidR="008F7411" w:rsidRPr="008F7411" w:rsidRDefault="008F7411" w:rsidP="008F7411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8F7411">
        <w:rPr>
          <w:rFonts w:ascii="宋体" w:eastAsia="宋体" w:hAnsi="宋体" w:cs="宋体"/>
          <w:kern w:val="0"/>
          <w:sz w:val="24"/>
          <w:szCs w:val="24"/>
        </w:rPr>
        <w:pict w14:anchorId="7A3BE1F8">
          <v:rect id="_x0000_i1031" style="width:0;height:1.5pt" o:hralign="center" o:hrstd="t" o:hr="t" fillcolor="#a0a0a0" stroked="f"/>
        </w:pict>
      </w:r>
    </w:p>
    <w:p w14:paraId="1DD613AB" w14:textId="63642702" w:rsidR="008F7411" w:rsidRPr="008F7411" w:rsidRDefault="008F7411" w:rsidP="008F741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：北京绿建软件股份有限公司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br/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审核人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王工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br/>
      </w:r>
      <w:r w:rsidRPr="008F7411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8F7411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385ADF5B" w14:textId="77777777" w:rsidR="00A62871" w:rsidRDefault="00A62871"/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462BB"/>
    <w:multiLevelType w:val="multilevel"/>
    <w:tmpl w:val="EE3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F0F21"/>
    <w:multiLevelType w:val="multilevel"/>
    <w:tmpl w:val="171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90121"/>
    <w:multiLevelType w:val="multilevel"/>
    <w:tmpl w:val="E1A0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4F5CD6"/>
    <w:multiLevelType w:val="multilevel"/>
    <w:tmpl w:val="7A0C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636B9"/>
    <w:multiLevelType w:val="multilevel"/>
    <w:tmpl w:val="1AB6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7020AB"/>
    <w:multiLevelType w:val="multilevel"/>
    <w:tmpl w:val="FA0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EE1C6A"/>
    <w:multiLevelType w:val="multilevel"/>
    <w:tmpl w:val="6780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51004">
    <w:abstractNumId w:val="5"/>
  </w:num>
  <w:num w:numId="2" w16cid:durableId="366417491">
    <w:abstractNumId w:val="2"/>
  </w:num>
  <w:num w:numId="3" w16cid:durableId="526868041">
    <w:abstractNumId w:val="1"/>
  </w:num>
  <w:num w:numId="4" w16cid:durableId="30885242">
    <w:abstractNumId w:val="4"/>
  </w:num>
  <w:num w:numId="5" w16cid:durableId="924193384">
    <w:abstractNumId w:val="0"/>
  </w:num>
  <w:num w:numId="6" w16cid:durableId="880244233">
    <w:abstractNumId w:val="3"/>
  </w:num>
  <w:num w:numId="7" w16cid:durableId="681710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43"/>
    <w:rsid w:val="000628C8"/>
    <w:rsid w:val="00292AF2"/>
    <w:rsid w:val="00364A6B"/>
    <w:rsid w:val="00371A43"/>
    <w:rsid w:val="004317F1"/>
    <w:rsid w:val="007C52D7"/>
    <w:rsid w:val="007F066D"/>
    <w:rsid w:val="00836368"/>
    <w:rsid w:val="008A7170"/>
    <w:rsid w:val="008F7411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1E87"/>
  <w15:chartTrackingRefBased/>
  <w15:docId w15:val="{CDEB1DAF-3C54-4E00-9CA4-724413B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1A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1A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2025-03-14T08:40:00Z</dcterms:created>
  <dcterms:modified xsi:type="dcterms:W3CDTF">2025-03-14T08:44:00Z</dcterms:modified>
</cp:coreProperties>
</file>