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5DE7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建筑禁烟标志设置情况报告</w:t>
      </w:r>
    </w:p>
    <w:p w14:paraId="77DB36A3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项目名称</w:t>
      </w:r>
    </w:p>
    <w:p w14:paraId="4F548730" w14:textId="77777777" w:rsidR="006B4903" w:rsidRDefault="006B490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spacing w:val="2"/>
          <w:kern w:val="0"/>
          <w:szCs w:val="21"/>
        </w:rPr>
      </w:pPr>
      <w:r w:rsidRPr="006B4903">
        <w:rPr>
          <w:rFonts w:ascii="Roboto" w:eastAsia="宋体" w:hAnsi="Roboto" w:cs="宋体" w:hint="eastAsia"/>
          <w:spacing w:val="2"/>
          <w:kern w:val="0"/>
          <w:szCs w:val="21"/>
        </w:rPr>
        <w:t>古韵新生——张爱玲故居的低碳活化再利用</w:t>
      </w:r>
    </w:p>
    <w:p w14:paraId="4365C808" w14:textId="03437E64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编制依据</w:t>
      </w:r>
    </w:p>
    <w:p w14:paraId="32B7A3E3" w14:textId="77777777" w:rsidR="00E31373" w:rsidRPr="00E31373" w:rsidRDefault="00E31373" w:rsidP="00E3137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《绿色建筑评价标准》（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5.1.1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条</w:t>
      </w:r>
    </w:p>
    <w:p w14:paraId="4A171228" w14:textId="77777777" w:rsidR="00E31373" w:rsidRPr="00E31373" w:rsidRDefault="00E31373" w:rsidP="00E3137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《公共场所卫生管理条例实施细则》</w:t>
      </w:r>
    </w:p>
    <w:p w14:paraId="72206870" w14:textId="77777777" w:rsidR="00E31373" w:rsidRPr="00E31373" w:rsidRDefault="00E31373" w:rsidP="00E3137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消防安全相关规范</w:t>
      </w:r>
    </w:p>
    <w:p w14:paraId="60537DB5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编制单位</w:t>
      </w:r>
    </w:p>
    <w:p w14:paraId="7E0A6DAE" w14:textId="0B21A075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Roboto" w:eastAsia="宋体" w:hAnsi="Roboto" w:cs="宋体" w:hint="eastAsia"/>
          <w:spacing w:val="2"/>
          <w:kern w:val="0"/>
          <w:szCs w:val="21"/>
        </w:rPr>
        <w:t>安居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建筑管理部门</w:t>
      </w:r>
    </w:p>
    <w:p w14:paraId="711E9FBF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编制日期</w:t>
      </w:r>
    </w:p>
    <w:p w14:paraId="3EE36630" w14:textId="4E0387F9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12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19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34D40665" w14:textId="77777777" w:rsidR="00E31373" w:rsidRPr="00E31373" w:rsidRDefault="00000000" w:rsidP="00E31373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2912C0E">
          <v:rect id="_x0000_i1025" style="width:0;height:1.5pt" o:hralign="center" o:hrstd="t" o:hr="t" fillcolor="#a0a0a0" stroked="f"/>
        </w:pict>
      </w:r>
    </w:p>
    <w:p w14:paraId="45062B0E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禁烟标志设置情况</w:t>
      </w:r>
    </w:p>
    <w:p w14:paraId="18AE942D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1. </w:t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设置位置</w:t>
      </w:r>
    </w:p>
    <w:p w14:paraId="7C773EE3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禁烟标志覆盖建筑内以下区域：</w:t>
      </w:r>
    </w:p>
    <w:p w14:paraId="05B481AE" w14:textId="77777777" w:rsidR="00E31373" w:rsidRPr="00E31373" w:rsidRDefault="00E31373" w:rsidP="00E3137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主出入口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：建筑主门内外醒目位置。</w:t>
      </w:r>
    </w:p>
    <w:p w14:paraId="78DFA362" w14:textId="77777777" w:rsidR="00E31373" w:rsidRPr="00E31373" w:rsidRDefault="00E31373" w:rsidP="00E3137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室内公共区域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：走廊、楼梯间、电梯厅等。</w:t>
      </w:r>
    </w:p>
    <w:p w14:paraId="368BE921" w14:textId="77777777" w:rsidR="00E31373" w:rsidRPr="00E31373" w:rsidRDefault="00E31373" w:rsidP="00E3137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功能房间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：办公室、会议室、卫生间等。</w:t>
      </w:r>
    </w:p>
    <w:p w14:paraId="307B5AA6" w14:textId="77777777" w:rsidR="00E31373" w:rsidRPr="00E31373" w:rsidRDefault="00E31373" w:rsidP="00E3137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特殊区域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：消防控制室、设备间、地下车库等。</w:t>
      </w:r>
    </w:p>
    <w:p w14:paraId="07516CF9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2. </w:t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设置数量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201"/>
      </w:tblGrid>
      <w:tr w:rsidR="00E31373" w:rsidRPr="00E31373" w14:paraId="1A07B28E" w14:textId="77777777" w:rsidTr="00E31373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9CE37B0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区域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73B53B9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数量</w:t>
            </w:r>
          </w:p>
        </w:tc>
      </w:tr>
      <w:tr w:rsidR="00E31373" w:rsidRPr="00E31373" w14:paraId="7FC1E98E" w14:textId="77777777" w:rsidTr="00E31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459BCF7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主出入口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1B31F3A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5</w:t>
            </w: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个</w:t>
            </w:r>
          </w:p>
        </w:tc>
      </w:tr>
      <w:tr w:rsidR="00E31373" w:rsidRPr="00E31373" w14:paraId="21E1C3D8" w14:textId="77777777" w:rsidTr="00E31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D29E598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室内公共区域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B59DF8B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30</w:t>
            </w: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个</w:t>
            </w:r>
          </w:p>
        </w:tc>
      </w:tr>
      <w:tr w:rsidR="00E31373" w:rsidRPr="00E31373" w14:paraId="32A4445D" w14:textId="77777777" w:rsidTr="00E31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D2301F8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功能房间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30F7263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50</w:t>
            </w: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个</w:t>
            </w:r>
          </w:p>
        </w:tc>
      </w:tr>
      <w:tr w:rsidR="00E31373" w:rsidRPr="00E31373" w14:paraId="33ED09B0" w14:textId="77777777" w:rsidTr="00E31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2DF7C20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特殊区域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2A9B762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15</w:t>
            </w:r>
            <w:r w:rsidRPr="00E31373">
              <w:rPr>
                <w:rFonts w:ascii="Arial" w:eastAsia="宋体" w:hAnsi="Arial" w:cs="Arial"/>
                <w:spacing w:val="2"/>
                <w:kern w:val="0"/>
                <w:szCs w:val="21"/>
              </w:rPr>
              <w:t>个</w:t>
            </w:r>
          </w:p>
        </w:tc>
      </w:tr>
      <w:tr w:rsidR="00E31373" w:rsidRPr="00E31373" w14:paraId="61478800" w14:textId="77777777" w:rsidTr="00E31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7996BAC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lastRenderedPageBreak/>
              <w:t>总计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3C46AF1" w14:textId="77777777" w:rsidR="00E31373" w:rsidRPr="00E31373" w:rsidRDefault="00E31373" w:rsidP="00E31373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E31373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100</w:t>
            </w:r>
            <w:r w:rsidRPr="00E31373">
              <w:rPr>
                <w:rFonts w:ascii="Arial" w:eastAsia="宋体" w:hAnsi="Arial" w:cs="Arial"/>
                <w:b/>
                <w:bCs/>
                <w:spacing w:val="2"/>
                <w:kern w:val="0"/>
                <w:szCs w:val="21"/>
              </w:rPr>
              <w:t>个</w:t>
            </w:r>
          </w:p>
        </w:tc>
      </w:tr>
    </w:tbl>
    <w:p w14:paraId="103949C9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3. </w:t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标志设计</w:t>
      </w:r>
    </w:p>
    <w:p w14:paraId="00D05913" w14:textId="77777777" w:rsidR="00E31373" w:rsidRPr="00E31373" w:rsidRDefault="00E31373" w:rsidP="00E3137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尺寸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：标准尺寸为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20cm×30cm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，特殊区域根据实际情况调整。</w:t>
      </w:r>
    </w:p>
    <w:p w14:paraId="53F5D218" w14:textId="77777777" w:rsidR="00E31373" w:rsidRPr="00E31373" w:rsidRDefault="00E31373" w:rsidP="00E3137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颜色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：白底红字，搭配国际通用禁烟图标。</w:t>
      </w:r>
    </w:p>
    <w:p w14:paraId="1889B24C" w14:textId="77777777" w:rsidR="00E31373" w:rsidRPr="00E31373" w:rsidRDefault="00E31373" w:rsidP="00E3137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文字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：清晰标注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“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禁止吸烟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”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字样，部分区域增加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“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违者罚款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”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警示语。</w:t>
      </w:r>
    </w:p>
    <w:p w14:paraId="7589C8CD" w14:textId="77777777" w:rsidR="00E31373" w:rsidRPr="00E31373" w:rsidRDefault="00E31373" w:rsidP="00E3137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材质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：采用防水、防紫外线材料，确保长期使用不变色、不脱落。</w:t>
      </w:r>
    </w:p>
    <w:p w14:paraId="41E94D58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4. </w:t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安装方式</w:t>
      </w:r>
    </w:p>
    <w:p w14:paraId="2E48FFF6" w14:textId="77777777" w:rsidR="00E31373" w:rsidRPr="00E31373" w:rsidRDefault="00E31373" w:rsidP="00E3137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墙面安装：使用强力胶或螺丝固定，确保牢固。</w:t>
      </w:r>
    </w:p>
    <w:p w14:paraId="419055C9" w14:textId="77777777" w:rsidR="00E31373" w:rsidRPr="00E31373" w:rsidRDefault="00E31373" w:rsidP="00E3137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地面安装：采用地贴形式，适用于走廊和楼梯间。</w:t>
      </w:r>
    </w:p>
    <w:p w14:paraId="5937DC8E" w14:textId="77777777" w:rsidR="00E31373" w:rsidRPr="00E31373" w:rsidRDefault="00E31373" w:rsidP="00E3137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吊顶安装：悬挂于吊顶下方，适用于大厅和高挑空间。</w:t>
      </w:r>
    </w:p>
    <w:p w14:paraId="4F1519F0" w14:textId="77777777" w:rsidR="00E31373" w:rsidRPr="00E31373" w:rsidRDefault="00000000" w:rsidP="00E31373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653C14C">
          <v:rect id="_x0000_i1026" style="width:0;height:1.5pt" o:hralign="center" o:hrstd="t" o:hr="t" fillcolor="#a0a0a0" stroked="f"/>
        </w:pict>
      </w:r>
    </w:p>
    <w:p w14:paraId="7790EAAB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禁烟宣传与管理措施</w:t>
      </w:r>
    </w:p>
    <w:p w14:paraId="0D87A433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1. </w:t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宣传教育</w:t>
      </w:r>
    </w:p>
    <w:p w14:paraId="27B2F898" w14:textId="77777777" w:rsidR="00E31373" w:rsidRPr="00E31373" w:rsidRDefault="00E31373" w:rsidP="00E3137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在建筑内张贴禁烟宣传海报，普及吸烟危害知识。</w:t>
      </w:r>
    </w:p>
    <w:p w14:paraId="17F79E50" w14:textId="77777777" w:rsidR="00E31373" w:rsidRPr="00E31373" w:rsidRDefault="00E31373" w:rsidP="00E3137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定期组织禁烟宣传活动，提高建筑内人员禁烟意识。</w:t>
      </w:r>
    </w:p>
    <w:p w14:paraId="1181144B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2. </w:t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监督管理</w:t>
      </w:r>
    </w:p>
    <w:p w14:paraId="1FF441B0" w14:textId="77777777" w:rsidR="00E31373" w:rsidRPr="00E31373" w:rsidRDefault="00E31373" w:rsidP="00E3137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物业管理部门负责每日巡查，及时制止吸烟行为。</w:t>
      </w:r>
    </w:p>
    <w:p w14:paraId="7888B881" w14:textId="77777777" w:rsidR="00E31373" w:rsidRPr="00E31373" w:rsidRDefault="00E31373" w:rsidP="00E3137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建立举报机制，鼓励建筑内人员举报违规吸烟行为。</w:t>
      </w:r>
    </w:p>
    <w:p w14:paraId="301B1637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3. </w:t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处罚措施</w:t>
      </w:r>
    </w:p>
    <w:p w14:paraId="1A2FFE72" w14:textId="77777777" w:rsidR="00E31373" w:rsidRPr="00E31373" w:rsidRDefault="00E31373" w:rsidP="00E3137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对违规吸烟者进行警告，屡次违规者处以罚款。</w:t>
      </w:r>
    </w:p>
    <w:p w14:paraId="3E411350" w14:textId="77777777" w:rsidR="00E31373" w:rsidRPr="00E31373" w:rsidRDefault="00E31373" w:rsidP="00E3137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对吸烟行为严重的区域，增加监控设备加强管理。</w:t>
      </w:r>
    </w:p>
    <w:p w14:paraId="618EAADE" w14:textId="77777777" w:rsidR="00E31373" w:rsidRPr="00E31373" w:rsidRDefault="00000000" w:rsidP="00E31373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262B3A88">
          <v:rect id="_x0000_i1027" style="width:0;height:1.5pt" o:hralign="center" o:hrstd="t" o:hr="t" fillcolor="#a0a0a0" stroked="f"/>
        </w:pict>
      </w:r>
    </w:p>
    <w:p w14:paraId="393DF970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设置效果评估</w:t>
      </w:r>
    </w:p>
    <w:p w14:paraId="19972205" w14:textId="77777777" w:rsidR="00E31373" w:rsidRPr="00E31373" w:rsidRDefault="00E31373" w:rsidP="00E3137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覆盖率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：禁烟标志覆盖建筑内所有关键区域，确保无死角。</w:t>
      </w:r>
    </w:p>
    <w:p w14:paraId="5600D59C" w14:textId="77777777" w:rsidR="00E31373" w:rsidRPr="00E31373" w:rsidRDefault="00E31373" w:rsidP="00E3137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醒目度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：标志设计符合规范，颜色和文字清晰醒目。</w:t>
      </w:r>
    </w:p>
    <w:p w14:paraId="790F998F" w14:textId="77777777" w:rsidR="00E31373" w:rsidRPr="00E31373" w:rsidRDefault="00E31373" w:rsidP="00E3137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管理效果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：通过宣传和监督，建筑内吸烟行为显著减少。</w:t>
      </w:r>
    </w:p>
    <w:p w14:paraId="6683059F" w14:textId="77777777" w:rsidR="00E31373" w:rsidRPr="00E31373" w:rsidRDefault="00000000" w:rsidP="00E31373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pict w14:anchorId="63714D8B">
          <v:rect id="_x0000_i1028" style="width:0;height:1.5pt" o:hralign="center" o:hrstd="t" o:hr="t" fillcolor="#a0a0a0" stroked="f"/>
        </w:pict>
      </w:r>
    </w:p>
    <w:p w14:paraId="4B7B9C92" w14:textId="77777777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改进建议</w:t>
      </w:r>
    </w:p>
    <w:p w14:paraId="603277E3" w14:textId="77777777" w:rsidR="00E31373" w:rsidRPr="00E31373" w:rsidRDefault="00E31373" w:rsidP="00E31373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定期检查禁烟标志的完整性和清晰度，及时更换损坏标志。</w:t>
      </w:r>
    </w:p>
    <w:p w14:paraId="0B2E1A0F" w14:textId="77777777" w:rsidR="00E31373" w:rsidRPr="00E31373" w:rsidRDefault="00E31373" w:rsidP="00E31373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增加禁烟宣传力度，进一步提高建筑内人员的禁烟意识。</w:t>
      </w:r>
    </w:p>
    <w:p w14:paraId="02AA55B8" w14:textId="77777777" w:rsidR="00E31373" w:rsidRPr="00E31373" w:rsidRDefault="00E31373" w:rsidP="00E31373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spacing w:val="2"/>
          <w:kern w:val="0"/>
          <w:szCs w:val="21"/>
        </w:rPr>
        <w:t>在吸烟行为高发区域增设监控设备，加强管理力度。</w:t>
      </w:r>
    </w:p>
    <w:p w14:paraId="5BA72405" w14:textId="77777777" w:rsidR="00E31373" w:rsidRPr="00E31373" w:rsidRDefault="00000000" w:rsidP="00E31373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CB8BB0B">
          <v:rect id="_x0000_i1029" style="width:0;height:1.5pt" o:hralign="center" o:hrstd="t" o:hr="t" fillcolor="#a0a0a0" stroked="f"/>
        </w:pict>
      </w:r>
    </w:p>
    <w:p w14:paraId="361DCC28" w14:textId="740C9532" w:rsidR="00E31373" w:rsidRPr="00E31373" w:rsidRDefault="00E31373" w:rsidP="00E31373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编制单位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安居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建筑管理部门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br/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编制人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王勇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br/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审核人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马涛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br/>
      </w:r>
      <w:r w:rsidRPr="00E31373">
        <w:rPr>
          <w:rFonts w:ascii="Roboto" w:eastAsia="宋体" w:hAnsi="Roboto" w:cs="宋体"/>
          <w:b/>
          <w:bCs/>
          <w:spacing w:val="2"/>
          <w:kern w:val="0"/>
          <w:szCs w:val="21"/>
        </w:rPr>
        <w:t>签发日期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12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19</w:t>
      </w:r>
      <w:r w:rsidRPr="00E31373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3326675A" w14:textId="77777777" w:rsidR="00A62871" w:rsidRPr="00E31373" w:rsidRDefault="00A62871">
      <w:pPr>
        <w:rPr>
          <w:rFonts w:hint="eastAsia"/>
        </w:rPr>
      </w:pPr>
    </w:p>
    <w:sectPr w:rsidR="00A62871" w:rsidRPr="00E3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62271"/>
    <w:multiLevelType w:val="multilevel"/>
    <w:tmpl w:val="E598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41E0B"/>
    <w:multiLevelType w:val="multilevel"/>
    <w:tmpl w:val="99C6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85C6F"/>
    <w:multiLevelType w:val="multilevel"/>
    <w:tmpl w:val="998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B49F7"/>
    <w:multiLevelType w:val="multilevel"/>
    <w:tmpl w:val="96D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A1D5E"/>
    <w:multiLevelType w:val="multilevel"/>
    <w:tmpl w:val="C14C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34EBF"/>
    <w:multiLevelType w:val="multilevel"/>
    <w:tmpl w:val="76B0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62F6F"/>
    <w:multiLevelType w:val="multilevel"/>
    <w:tmpl w:val="C8E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3400E"/>
    <w:multiLevelType w:val="multilevel"/>
    <w:tmpl w:val="2932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D38CB"/>
    <w:multiLevelType w:val="multilevel"/>
    <w:tmpl w:val="13B8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559460">
    <w:abstractNumId w:val="1"/>
  </w:num>
  <w:num w:numId="2" w16cid:durableId="982663250">
    <w:abstractNumId w:val="3"/>
  </w:num>
  <w:num w:numId="3" w16cid:durableId="1114448195">
    <w:abstractNumId w:val="8"/>
  </w:num>
  <w:num w:numId="4" w16cid:durableId="182674309">
    <w:abstractNumId w:val="4"/>
  </w:num>
  <w:num w:numId="5" w16cid:durableId="1715806638">
    <w:abstractNumId w:val="0"/>
  </w:num>
  <w:num w:numId="6" w16cid:durableId="1147019097">
    <w:abstractNumId w:val="5"/>
  </w:num>
  <w:num w:numId="7" w16cid:durableId="744231440">
    <w:abstractNumId w:val="6"/>
  </w:num>
  <w:num w:numId="8" w16cid:durableId="1538161387">
    <w:abstractNumId w:val="2"/>
  </w:num>
  <w:num w:numId="9" w16cid:durableId="1868518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6F"/>
    <w:rsid w:val="000628C8"/>
    <w:rsid w:val="00292AF2"/>
    <w:rsid w:val="004317F1"/>
    <w:rsid w:val="0056356F"/>
    <w:rsid w:val="006B4903"/>
    <w:rsid w:val="007925A3"/>
    <w:rsid w:val="007C52D7"/>
    <w:rsid w:val="007F066D"/>
    <w:rsid w:val="00836368"/>
    <w:rsid w:val="008A7170"/>
    <w:rsid w:val="00952991"/>
    <w:rsid w:val="00A62871"/>
    <w:rsid w:val="00DF1447"/>
    <w:rsid w:val="00E31373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7E5B"/>
  <w15:chartTrackingRefBased/>
  <w15:docId w15:val="{BF77B9BB-3B7A-4F42-8553-CACC5516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6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6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35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3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2025-02-11T09:51:00Z</dcterms:created>
  <dcterms:modified xsi:type="dcterms:W3CDTF">2025-02-28T09:05:00Z</dcterms:modified>
</cp:coreProperties>
</file>