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FE52" w14:textId="77777777" w:rsidR="00F5037C" w:rsidRPr="00F5037C" w:rsidRDefault="00F5037C" w:rsidP="00F5037C">
      <w:pPr>
        <w:widowControl/>
        <w:shd w:val="clear" w:color="auto" w:fill="FCFCFC"/>
        <w:spacing w:after="100" w:afterAutospacing="1"/>
        <w:jc w:val="left"/>
        <w:textAlignment w:val="baseline"/>
        <w:outlineLvl w:val="2"/>
        <w:rPr>
          <w:rFonts w:ascii="Segoe UI" w:eastAsia="宋体" w:hAnsi="Segoe UI" w:cs="Segoe UI"/>
          <w:b/>
          <w:bCs/>
          <w:kern w:val="0"/>
          <w:sz w:val="27"/>
          <w:szCs w:val="27"/>
        </w:rPr>
      </w:pPr>
      <w:r w:rsidRPr="00F5037C">
        <w:rPr>
          <w:rFonts w:ascii="Segoe UI" w:eastAsia="宋体" w:hAnsi="Segoe UI" w:cs="Segoe UI"/>
          <w:b/>
          <w:bCs/>
          <w:kern w:val="0"/>
          <w:sz w:val="27"/>
          <w:szCs w:val="27"/>
        </w:rPr>
        <w:t>空调冷热水系统耗电输冷（热）比评价报告</w:t>
      </w:r>
    </w:p>
    <w:p w14:paraId="2F2737E1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依据标准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GB/T 50378-2019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《绿色建筑评价标准》第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7.2.6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条</w:t>
      </w:r>
    </w:p>
    <w:p w14:paraId="0E976D09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2761E6B3">
          <v:rect id="_x0000_i1025" style="width:0;height:1.5pt" o:hralign="center" o:hrstd="t" o:hr="t" fillcolor="#a0a0a0" stroked="f"/>
        </w:pict>
      </w:r>
    </w:p>
    <w:p w14:paraId="623EB1E2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一、项目概况</w:t>
      </w:r>
    </w:p>
    <w:p w14:paraId="1A3B0D1C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根据提供的节能报告及暖通设计文件，本项目为某公共建筑，总建筑面积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25,000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㎡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，空调面积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18,500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㎡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，夏季设计冷负荷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2,800kW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，冬季设计热负荷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2,200kW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。空调冷热水系统采用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变频离心式冷水机组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+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燃气锅炉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，输配系统配置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台（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用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备）变频循环水泵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，单台额定功率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22kW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，设计扬程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28m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，流量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120m³/h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，系统全年运行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180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天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，日均运行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10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小时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6672B520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71DC3731">
          <v:rect id="_x0000_i1026" style="width:0;height:1.5pt" o:hralign="center" o:hrstd="t" o:hr="t" fillcolor="#a0a0a0" stroked="f"/>
        </w:pict>
      </w:r>
    </w:p>
    <w:p w14:paraId="599B712D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二、耗电输冷（热）比（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EER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）计算分析</w:t>
      </w:r>
    </w:p>
    <w:p w14:paraId="3B51C269" w14:textId="77777777" w:rsidR="00F5037C" w:rsidRPr="00F5037C" w:rsidRDefault="00F5037C" w:rsidP="00F5037C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国家标准限值（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GB 50736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）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​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根据《民用建筑供暖通风与空气调节设计规范》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GB 50736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，同类建筑空调冷热水系统的耗电输冷（热）比限值为：</w:t>
      </w:r>
    </w:p>
    <w:p w14:paraId="4A9C01AC" w14:textId="77777777" w:rsidR="00F5037C" w:rsidRPr="00F5037C" w:rsidRDefault="00F5037C" w:rsidP="00F5037C">
      <w:pPr>
        <w:widowControl/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EER</w:t>
      </w:r>
      <w:r w:rsidRPr="00F5037C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限值</w:t>
      </w:r>
      <w:r w:rsidRPr="00F5037C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=0.024kW/(kW\cdotph)</w:t>
      </w:r>
    </w:p>
    <w:p w14:paraId="5DF900EB" w14:textId="77777777" w:rsidR="00F5037C" w:rsidRPr="00F5037C" w:rsidRDefault="00F5037C" w:rsidP="00F5037C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实际运行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EER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计算</w:t>
      </w:r>
    </w:p>
    <w:p w14:paraId="34A5249E" w14:textId="77777777" w:rsidR="00F5037C" w:rsidRPr="00F5037C" w:rsidRDefault="00F5037C" w:rsidP="00F5037C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年输送冷量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：夏季冷负荷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 xml:space="preserve">2,800kW × 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运行时间（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180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天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×10h/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天）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 xml:space="preserve"> = 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50,400,000 kW·h</w:t>
      </w:r>
    </w:p>
    <w:p w14:paraId="3E7A94CB" w14:textId="77777777" w:rsidR="00F5037C" w:rsidRPr="00F5037C" w:rsidRDefault="00F5037C" w:rsidP="00F5037C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循环水泵年耗电量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：单台功率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22kW × 2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台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 xml:space="preserve"> × 10h/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天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 xml:space="preserve"> × 180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天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 xml:space="preserve"> = 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79,200 kW·h</w:t>
      </w:r>
    </w:p>
    <w:p w14:paraId="7FAB0FF3" w14:textId="77777777" w:rsidR="00F5037C" w:rsidRPr="00F5037C" w:rsidRDefault="00F5037C" w:rsidP="00F5037C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实际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EER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EER</w:t>
      </w:r>
      <w:r w:rsidRPr="00F5037C">
        <w:rPr>
          <w:rFonts w:ascii="inherit" w:eastAsia="宋体" w:hAnsi="inherit" w:cs="Times New Roman"/>
          <w:kern w:val="0"/>
          <w:sz w:val="20"/>
          <w:szCs w:val="20"/>
          <w:bdr w:val="none" w:sz="0" w:space="0" w:color="auto" w:frame="1"/>
        </w:rPr>
        <w:t>实际</w:t>
      </w:r>
      <w:r w:rsidRPr="00F5037C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年输送冷量水泵年耗电量</w:t>
      </w:r>
      <w:r w:rsidRPr="00F5037C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=50,400,00079,200</w:t>
      </w:r>
      <w:r w:rsidRPr="00F5037C">
        <w:rPr>
          <w:rFonts w:ascii="inherit" w:eastAsia="宋体" w:hAnsi="inherit" w:cs="Times New Roman"/>
          <w:kern w:val="0"/>
          <w:sz w:val="2"/>
          <w:szCs w:val="2"/>
          <w:bdr w:val="none" w:sz="0" w:space="0" w:color="auto" w:frame="1"/>
        </w:rPr>
        <w:t>​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=0.00157kW/(kW\cdotph)</w:t>
      </w:r>
    </w:p>
    <w:p w14:paraId="608FE62B" w14:textId="77777777" w:rsidR="00F5037C" w:rsidRPr="00F5037C" w:rsidRDefault="00F5037C" w:rsidP="00F5037C">
      <w:pPr>
        <w:widowControl/>
        <w:numPr>
          <w:ilvl w:val="0"/>
          <w:numId w:val="1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节能效果对比</w:t>
      </w:r>
    </w:p>
    <w:p w14:paraId="0B7DFA6F" w14:textId="77777777" w:rsidR="00F5037C" w:rsidRPr="00F5037C" w:rsidRDefault="00F5037C" w:rsidP="00F5037C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lastRenderedPageBreak/>
        <w:t>目标要求：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EER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限值降低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20%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，即</w:t>
      </w:r>
      <w:r w:rsidRPr="00F5037C">
        <w:rPr>
          <w:rFonts w:ascii="Times New Roman" w:eastAsia="宋体" w:hAnsi="Times New Roman" w:cs="Times New Roman"/>
          <w:kern w:val="0"/>
          <w:sz w:val="29"/>
          <w:szCs w:val="29"/>
          <w:bdr w:val="none" w:sz="0" w:space="0" w:color="auto" w:frame="1"/>
        </w:rPr>
        <w:t>0.024×(1−20%)=0.0192kW/(kW\cdotph)</w:t>
      </w:r>
    </w:p>
    <w:p w14:paraId="7AFD1CA2" w14:textId="77777777" w:rsidR="00F5037C" w:rsidRPr="00F5037C" w:rsidRDefault="00F5037C" w:rsidP="00F5037C">
      <w:pPr>
        <w:widowControl/>
        <w:numPr>
          <w:ilvl w:val="1"/>
          <w:numId w:val="1"/>
        </w:numPr>
        <w:shd w:val="clear" w:color="auto" w:fill="FCFCFC"/>
        <w:ind w:left="24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实际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EER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0.00157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）仅为限值的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6.5%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，远低于目标值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0.0192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，节能效果显著。</w:t>
      </w:r>
    </w:p>
    <w:p w14:paraId="5B40686A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283E4EA9">
          <v:rect id="_x0000_i1027" style="width:0;height:1.5pt" o:hralign="center" o:hrstd="t" o:hr="t" fillcolor="#a0a0a0" stroked="f"/>
        </w:pict>
      </w:r>
    </w:p>
    <w:p w14:paraId="50F28432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三、节能措施说明</w:t>
      </w:r>
    </w:p>
    <w:p w14:paraId="02C65C44" w14:textId="77777777" w:rsidR="00F5037C" w:rsidRPr="00F5037C" w:rsidRDefault="00F5037C" w:rsidP="00F5037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高效变频水泵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采用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IE5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能效等级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变频循环水泵，综合效率达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92%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，较常规水泵（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IE3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，效率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85%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）节能约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8%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0ECE57FA" w14:textId="77777777" w:rsidR="00F5037C" w:rsidRPr="00F5037C" w:rsidRDefault="00F5037C" w:rsidP="00F5037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水力平衡优化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管路设计采用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同程系统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+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动态平衡阀，减少管网阻力损失，实测系统阻力较设计值降低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15%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1D11B8F0" w14:textId="77777777" w:rsidR="00F5037C" w:rsidRPr="00F5037C" w:rsidRDefault="00F5037C" w:rsidP="00F5037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智能群控策略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基于负荷预测的变频控制，水泵运行功率随冷热负荷实时调节，部分负荷下能耗降低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30%~40%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4BF0929F" w14:textId="77777777" w:rsidR="00F5037C" w:rsidRPr="00F5037C" w:rsidRDefault="00F5037C" w:rsidP="00F5037C">
      <w:pPr>
        <w:widowControl/>
        <w:numPr>
          <w:ilvl w:val="0"/>
          <w:numId w:val="2"/>
        </w:numPr>
        <w:shd w:val="clear" w:color="auto" w:fill="FCFCFC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保温与防冷桥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空调水管采用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B1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级橡塑保温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​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（厚度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40mm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），确保输送过程冷热损失率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≤5%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6735C9E2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795C669C">
          <v:rect id="_x0000_i1028" style="width:0;height:1.5pt" o:hralign="center" o:hrstd="t" o:hr="t" fillcolor="#a0a0a0" stroked="f"/>
        </w:pict>
      </w:r>
    </w:p>
    <w:p w14:paraId="158EC111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b/>
          <w:bCs/>
          <w:kern w:val="0"/>
          <w:sz w:val="24"/>
          <w:szCs w:val="24"/>
        </w:rPr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四、结论与得分</w:t>
      </w:r>
    </w:p>
    <w:p w14:paraId="2091541D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本项目空调冷热水系统耗电输冷（热）比实际值为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0.00157 kW/(kW·h)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，较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GB 50736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规定值低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93.5%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，满足《绿色建筑评价标准》第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7.2.6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条第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2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款要求，得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3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分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。</w:t>
      </w:r>
    </w:p>
    <w:p w14:paraId="02549316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68D957DE">
          <v:rect id="_x0000_i1029" style="width:0;height:1.5pt" o:hralign="center" o:hrstd="t" o:hr="t" fillcolor="#a0a0a0" stroked="f"/>
        </w:pict>
      </w:r>
    </w:p>
    <w:p w14:paraId="019B6F77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outlineLvl w:val="3"/>
        <w:rPr>
          <w:rFonts w:ascii="Segoe UI" w:eastAsia="宋体" w:hAnsi="Segoe UI" w:cs="Segoe UI"/>
          <w:b/>
          <w:bCs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b/>
          <w:bCs/>
          <w:kern w:val="0"/>
          <w:sz w:val="24"/>
          <w:szCs w:val="24"/>
        </w:rPr>
        <w:lastRenderedPageBreak/>
        <w:t>​</w:t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五、建议</w:t>
      </w:r>
    </w:p>
    <w:p w14:paraId="430FCBC0" w14:textId="77777777" w:rsidR="00F5037C" w:rsidRPr="00F5037C" w:rsidRDefault="00F5037C" w:rsidP="00F5037C">
      <w:pPr>
        <w:widowControl/>
        <w:numPr>
          <w:ilvl w:val="0"/>
          <w:numId w:val="3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定期校验水泵效率及传感器精度，确保变频控制系统长期稳定运行。</w:t>
      </w:r>
    </w:p>
    <w:p w14:paraId="500852F8" w14:textId="77777777" w:rsidR="00F5037C" w:rsidRPr="00F5037C" w:rsidRDefault="00F5037C" w:rsidP="00F5037C">
      <w:pPr>
        <w:widowControl/>
        <w:numPr>
          <w:ilvl w:val="0"/>
          <w:numId w:val="3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结合建筑用能数据平台，进一步优化部分负荷下的水泵运行策略。</w:t>
      </w:r>
    </w:p>
    <w:p w14:paraId="6A63D31A" w14:textId="77777777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附件索引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</w:t>
      </w:r>
    </w:p>
    <w:p w14:paraId="12A67293" w14:textId="77777777" w:rsidR="00F5037C" w:rsidRPr="00F5037C" w:rsidRDefault="00F5037C" w:rsidP="00F5037C">
      <w:pPr>
        <w:widowControl/>
        <w:numPr>
          <w:ilvl w:val="0"/>
          <w:numId w:val="4"/>
        </w:numPr>
        <w:shd w:val="clear" w:color="auto" w:fill="FCFCFC"/>
        <w:spacing w:after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节能报告第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5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章：空调系统设计参数（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P12-15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16863AFC" w14:textId="77777777" w:rsidR="00F5037C" w:rsidRPr="00F5037C" w:rsidRDefault="00F5037C" w:rsidP="00F5037C">
      <w:pPr>
        <w:widowControl/>
        <w:numPr>
          <w:ilvl w:val="0"/>
          <w:numId w:val="4"/>
        </w:numPr>
        <w:shd w:val="clear" w:color="auto" w:fill="FCFCFC"/>
        <w:spacing w:before="120"/>
        <w:ind w:left="1200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Segoe UI" w:eastAsia="宋体" w:hAnsi="Segoe UI" w:cs="Segoe UI"/>
          <w:kern w:val="0"/>
          <w:sz w:val="24"/>
          <w:szCs w:val="24"/>
        </w:rPr>
        <w:t>暖通报告第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3.4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节：循环水泵性能检测数据（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P22-25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）</w:t>
      </w:r>
    </w:p>
    <w:p w14:paraId="36919743" w14:textId="77777777" w:rsidR="00F5037C" w:rsidRPr="00F5037C" w:rsidRDefault="00F5037C" w:rsidP="00F5037C">
      <w:pPr>
        <w:widowControl/>
        <w:spacing w:before="240" w:after="240"/>
        <w:jc w:val="left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宋体" w:eastAsia="宋体" w:hAnsi="宋体" w:cs="宋体"/>
          <w:kern w:val="0"/>
          <w:sz w:val="24"/>
          <w:szCs w:val="24"/>
        </w:rPr>
        <w:pict w14:anchorId="750CE0BF">
          <v:rect id="_x0000_i1030" style="width:0;height:1.5pt" o:hralign="center" o:hrstd="t" o:hr="t" fillcolor="#a0a0a0" stroked="f"/>
        </w:pict>
      </w:r>
    </w:p>
    <w:p w14:paraId="0A64A449" w14:textId="69AEB22D" w:rsidR="00F5037C" w:rsidRPr="00F5037C" w:rsidRDefault="00F5037C" w:rsidP="00F5037C">
      <w:pPr>
        <w:widowControl/>
        <w:shd w:val="clear" w:color="auto" w:fill="FCFCFC"/>
        <w:spacing w:beforeAutospacing="1" w:afterAutospacing="1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</w:rPr>
      </w:pP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编制单位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</w:t>
      </w:r>
      <w:r>
        <w:rPr>
          <w:rFonts w:ascii="Segoe UI" w:eastAsia="宋体" w:hAnsi="Segoe UI" w:cs="Segoe UI" w:hint="eastAsia"/>
          <w:kern w:val="0"/>
          <w:sz w:val="24"/>
          <w:szCs w:val="24"/>
        </w:rPr>
        <w:t>清源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绿色建筑咨询中心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br/>
      </w:r>
      <w:r w:rsidRPr="00F5037C">
        <w:rPr>
          <w:rFonts w:ascii="inherit" w:eastAsia="宋体" w:hAnsi="inherit" w:cs="Segoe UI"/>
          <w:b/>
          <w:bCs/>
          <w:kern w:val="0"/>
          <w:sz w:val="24"/>
          <w:szCs w:val="24"/>
          <w:bdr w:val="none" w:sz="0" w:space="0" w:color="auto" w:frame="1"/>
        </w:rPr>
        <w:t>日期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：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2023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年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10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月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20</w:t>
      </w:r>
      <w:r w:rsidRPr="00F5037C">
        <w:rPr>
          <w:rFonts w:ascii="Segoe UI" w:eastAsia="宋体" w:hAnsi="Segoe UI" w:cs="Segoe UI"/>
          <w:kern w:val="0"/>
          <w:sz w:val="24"/>
          <w:szCs w:val="24"/>
        </w:rPr>
        <w:t>日</w:t>
      </w:r>
    </w:p>
    <w:p w14:paraId="65338BA5" w14:textId="77777777" w:rsidR="00A62871" w:rsidRPr="00F5037C" w:rsidRDefault="00A62871">
      <w:pPr>
        <w:rPr>
          <w:rFonts w:hint="eastAsia"/>
        </w:rPr>
      </w:pPr>
    </w:p>
    <w:sectPr w:rsidR="00A62871" w:rsidRPr="00F50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2152"/>
    <w:multiLevelType w:val="multilevel"/>
    <w:tmpl w:val="DED88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423703"/>
    <w:multiLevelType w:val="multilevel"/>
    <w:tmpl w:val="75C8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E4002"/>
    <w:multiLevelType w:val="multilevel"/>
    <w:tmpl w:val="A240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886CF9"/>
    <w:multiLevelType w:val="multilevel"/>
    <w:tmpl w:val="94A0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173163">
    <w:abstractNumId w:val="3"/>
  </w:num>
  <w:num w:numId="2" w16cid:durableId="142279003">
    <w:abstractNumId w:val="1"/>
  </w:num>
  <w:num w:numId="3" w16cid:durableId="2013069441">
    <w:abstractNumId w:val="0"/>
  </w:num>
  <w:num w:numId="4" w16cid:durableId="1376586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7D"/>
    <w:rsid w:val="000628C8"/>
    <w:rsid w:val="00292AF2"/>
    <w:rsid w:val="004317F1"/>
    <w:rsid w:val="007C52D7"/>
    <w:rsid w:val="007F066D"/>
    <w:rsid w:val="0081447D"/>
    <w:rsid w:val="00836368"/>
    <w:rsid w:val="008A7170"/>
    <w:rsid w:val="00A62871"/>
    <w:rsid w:val="00C85CD5"/>
    <w:rsid w:val="00DF1447"/>
    <w:rsid w:val="00EF7EF9"/>
    <w:rsid w:val="00F5037C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2B07"/>
  <w15:chartTrackingRefBased/>
  <w15:docId w15:val="{33876FC0-BC34-4B86-B2C9-5DED7A0A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47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47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47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4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4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4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4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4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4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44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4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4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4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4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4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2025-03-14T08:24:00Z</dcterms:created>
  <dcterms:modified xsi:type="dcterms:W3CDTF">2025-03-14T08:26:00Z</dcterms:modified>
</cp:coreProperties>
</file>