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spacing w:line="180" w:lineRule="atLeast"/>
        <w:rPr>
          <w:rFonts w:ascii="宋体" w:hAnsi="宋体"/>
          <w:b/>
          <w:bCs/>
          <w:sz w:val="32"/>
          <w:szCs w:val="32"/>
        </w:rPr>
      </w:pPr>
      <w:bookmarkStart w:id="0" w:name="_GoBack"/>
      <w:bookmarkEnd w:id="0"/>
    </w:p>
    <w:p w:rsidR="00D40158" w:rsidRDefault="00D40158" w:rsidP="00D40158">
      <w:pPr>
        <w:widowControl w:val="0"/>
        <w:spacing w:afterLines="100" w:after="312" w:line="240" w:lineRule="auto"/>
        <w:rPr>
          <w:rFonts w:ascii="宋体" w:hAnsi="宋体"/>
          <w:b/>
          <w:bCs/>
          <w:kern w:val="2"/>
          <w:sz w:val="30"/>
          <w:szCs w:val="24"/>
          <w:lang w:val="en-US"/>
        </w:rPr>
      </w:pPr>
    </w:p>
    <w:p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rsidR="00546490" w:rsidRPr="007A20AF" w:rsidRDefault="00546490" w:rsidP="00546490">
      <w:pPr>
        <w:spacing w:line="180" w:lineRule="atLeast"/>
        <w:rPr>
          <w:rFonts w:ascii="宋体" w:hAnsi="宋体"/>
          <w:b/>
          <w:bCs/>
          <w:sz w:val="36"/>
          <w:szCs w:val="36"/>
          <w:lang w:val="en-US"/>
        </w:rPr>
      </w:pPr>
      <w:bookmarkStart w:id="1" w:name="建筑类别"/>
      <w:bookmarkEnd w:id="1"/>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rsidTr="00917D2E">
        <w:trPr>
          <w:jc w:val="center"/>
        </w:trPr>
        <w:tc>
          <w:tcPr>
            <w:tcW w:w="1800" w:type="dxa"/>
            <w:tcBorders>
              <w:top w:val="single" w:sz="12" w:space="0" w:color="auto"/>
              <w:bottom w:val="single" w:sz="6" w:space="0" w:color="auto"/>
            </w:tcBorders>
            <w:shd w:val="clear" w:color="auto" w:fill="E6E6E6"/>
          </w:tcPr>
          <w:p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rsidR="00546490" w:rsidRPr="00D40158" w:rsidRDefault="00546490" w:rsidP="00917D2E">
            <w:pPr>
              <w:pStyle w:val="a6"/>
              <w:tabs>
                <w:tab w:val="clear" w:pos="4153"/>
                <w:tab w:val="clear" w:pos="8306"/>
              </w:tabs>
              <w:snapToGrid/>
              <w:jc w:val="both"/>
              <w:rPr>
                <w:rFonts w:ascii="宋体" w:hAnsi="宋体"/>
                <w:szCs w:val="21"/>
              </w:rPr>
            </w:pPr>
            <w:bookmarkStart w:id="2" w:name="项目名称"/>
            <w:r>
              <w:t>海安市曲塘中学体艺馆体艺馆建设项目</w:t>
            </w:r>
            <w:bookmarkEnd w:id="2"/>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rsidR="00546490" w:rsidRPr="00D40158" w:rsidRDefault="00546490" w:rsidP="00917D2E">
            <w:pPr>
              <w:jc w:val="both"/>
              <w:rPr>
                <w:rFonts w:ascii="宋体" w:hAnsi="宋体"/>
                <w:szCs w:val="21"/>
              </w:rPr>
            </w:pPr>
            <w:bookmarkStart w:id="3" w:name="项目地点"/>
            <w:r>
              <w:t>南通</w:t>
            </w:r>
            <w:bookmarkEnd w:id="3"/>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rsidR="00546490" w:rsidRPr="00D40158" w:rsidRDefault="00546490" w:rsidP="00917D2E">
            <w:pPr>
              <w:jc w:val="both"/>
              <w:rPr>
                <w:rFonts w:ascii="宋体" w:hAnsi="宋体"/>
                <w:szCs w:val="21"/>
              </w:rPr>
            </w:pPr>
            <w:bookmarkStart w:id="4" w:name="设计编号"/>
            <w:r>
              <w:t>A132003599</w:t>
            </w:r>
            <w:bookmarkEnd w:id="4"/>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rsidR="00546490" w:rsidRPr="00D40158" w:rsidRDefault="00546490" w:rsidP="00917D2E">
            <w:pPr>
              <w:rPr>
                <w:rFonts w:ascii="宋体" w:hAnsi="宋体"/>
                <w:szCs w:val="21"/>
              </w:rPr>
            </w:pPr>
            <w:bookmarkStart w:id="5" w:name="建设单位"/>
            <w:r>
              <w:t>海安市曲塘中学</w:t>
            </w:r>
            <w:bookmarkEnd w:id="5"/>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rsidR="00546490" w:rsidRPr="00D40158" w:rsidRDefault="00546490" w:rsidP="00917D2E">
            <w:pPr>
              <w:rPr>
                <w:rFonts w:ascii="宋体" w:hAnsi="宋体"/>
                <w:szCs w:val="21"/>
              </w:rPr>
            </w:pPr>
            <w:bookmarkStart w:id="6" w:name="设计单位"/>
            <w:r>
              <w:t>中通服咨询设计研究院有限公司</w:t>
            </w:r>
            <w:bookmarkEnd w:id="6"/>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Default="00546490" w:rsidP="00917D2E">
            <w:pPr>
              <w:jc w:val="both"/>
              <w:rPr>
                <w:rFonts w:ascii="宋体" w:hAnsi="宋体"/>
                <w:szCs w:val="21"/>
              </w:rPr>
            </w:pPr>
            <w:r>
              <w:rPr>
                <w:rFonts w:ascii="宋体" w:hAnsi="宋体" w:hint="eastAsia"/>
                <w:szCs w:val="21"/>
              </w:rPr>
              <w:t>审 定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12"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rsidR="00546490" w:rsidRPr="00D40158" w:rsidRDefault="00546490" w:rsidP="00917D2E">
            <w:pPr>
              <w:rPr>
                <w:rFonts w:ascii="宋体" w:hAnsi="宋体"/>
                <w:szCs w:val="21"/>
              </w:rPr>
            </w:pPr>
            <w:bookmarkStart w:id="7" w:name="报告日期"/>
            <w:r w:rsidRPr="00D40158">
              <w:rPr>
                <w:rFonts w:ascii="宋体" w:hAnsi="宋体" w:hint="eastAsia"/>
                <w:szCs w:val="21"/>
              </w:rPr>
              <w:t>2025年02月08日</w:t>
            </w:r>
            <w:bookmarkEnd w:id="7"/>
          </w:p>
        </w:tc>
      </w:tr>
    </w:tbl>
    <w:p w:rsidR="00546490" w:rsidRDefault="00546490" w:rsidP="00546490">
      <w:pPr>
        <w:spacing w:line="240" w:lineRule="auto"/>
        <w:rPr>
          <w:rFonts w:ascii="宋体" w:hAnsi="宋体"/>
          <w:lang w:val="en-US"/>
        </w:rPr>
      </w:pP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lang w:val="en-US"/>
        </w:rPr>
      </w:pPr>
      <w:bookmarkStart w:id="8" w:name="二维码"/>
      <w:bookmarkEnd w:id="8"/>
      <w:r>
        <w:rPr>
          <w:noProof/>
          <w:lang w:val="en-US"/>
        </w:rPr>
        <w:drawing>
          <wp:inline distT="0" distB="0" distL="0" distR="0">
            <wp:extent cx="1743258" cy="1743258"/>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43258" cy="1743258"/>
                    </a:xfrm>
                    <a:prstGeom prst="rect">
                      <a:avLst/>
                    </a:prstGeom>
                  </pic:spPr>
                </pic:pic>
              </a:graphicData>
            </a:graphic>
          </wp:inline>
        </w:drawing>
      </w: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rsidTr="00917D2E">
        <w:trPr>
          <w:cantSplit/>
          <w:trHeight w:hRule="exact" w:val="340"/>
        </w:trPr>
        <w:tc>
          <w:tcPr>
            <w:tcW w:w="1800" w:type="dxa"/>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rsidR="00546490" w:rsidRPr="003539C2" w:rsidRDefault="00A25C14" w:rsidP="00C508B4">
            <w:pPr>
              <w:spacing w:line="240" w:lineRule="atLeast"/>
              <w:jc w:val="both"/>
              <w:rPr>
                <w:rFonts w:ascii="宋体" w:hAnsi="宋体"/>
                <w:szCs w:val="21"/>
              </w:rPr>
            </w:pPr>
            <w:bookmarkStart w:id="9" w:name="采用软件"/>
            <w:r>
              <w:rPr>
                <w:rFonts w:ascii="宋体" w:hAnsi="宋体" w:hint="eastAsia"/>
              </w:rPr>
              <w:t>建筑通风Vent2024</w:t>
            </w:r>
            <w:bookmarkEnd w:id="9"/>
          </w:p>
        </w:tc>
      </w:tr>
      <w:tr w:rsidR="00546490" w:rsidRPr="003539C2" w:rsidTr="00917D2E">
        <w:trPr>
          <w:cantSplit/>
          <w:trHeight w:val="340"/>
        </w:trPr>
        <w:tc>
          <w:tcPr>
            <w:tcW w:w="1800" w:type="dxa"/>
            <w:tcBorders>
              <w:bottom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rsidR="00546490" w:rsidRPr="003539C2" w:rsidRDefault="00546490" w:rsidP="00917D2E">
            <w:pPr>
              <w:spacing w:line="240" w:lineRule="atLeast"/>
              <w:jc w:val="both"/>
              <w:rPr>
                <w:rFonts w:ascii="宋体" w:hAnsi="宋体"/>
                <w:szCs w:val="21"/>
              </w:rPr>
            </w:pPr>
            <w:bookmarkStart w:id="10" w:name="软件版本"/>
            <w:r w:rsidRPr="003539C2">
              <w:rPr>
                <w:rFonts w:ascii="宋体" w:hAnsi="宋体"/>
                <w:szCs w:val="21"/>
              </w:rPr>
              <w:t>20240430(SP1)</w:t>
            </w:r>
            <w:bookmarkEnd w:id="10"/>
          </w:p>
        </w:tc>
      </w:tr>
      <w:tr w:rsidR="00546490" w:rsidRPr="003539C2"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rsidR="00546490" w:rsidRPr="003539C2" w:rsidRDefault="00546490" w:rsidP="00917D2E">
            <w:pPr>
              <w:widowControl w:val="0"/>
              <w:spacing w:line="240" w:lineRule="auto"/>
              <w:jc w:val="both"/>
              <w:rPr>
                <w:rFonts w:ascii="宋体" w:eastAsia="等线" w:hAnsi="宋体"/>
                <w:kern w:val="2"/>
                <w:szCs w:val="21"/>
                <w:lang w:val="en-US"/>
              </w:rPr>
            </w:pPr>
            <w:bookmarkStart w:id="11" w:name="加密锁号"/>
            <w:r>
              <w:t>T17372799041</w:t>
            </w:r>
            <w:bookmarkEnd w:id="11"/>
          </w:p>
        </w:tc>
      </w:tr>
    </w:tbl>
    <w:p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2" w:name="目录"/>
    <w:p w:rsidR="00F978B5"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E95AEE">
          <w:rPr>
            <w:webHidden/>
          </w:rPr>
          <w:t>3</w:t>
        </w:r>
        <w:r w:rsidR="00F978B5">
          <w:rPr>
            <w:webHidden/>
          </w:rPr>
          <w:fldChar w:fldCharType="end"/>
        </w:r>
      </w:hyperlink>
    </w:p>
    <w:p w:rsidR="00F978B5" w:rsidRDefault="009D2A3F">
      <w:pPr>
        <w:pStyle w:val="21"/>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E95AEE">
          <w:rPr>
            <w:webHidden/>
          </w:rPr>
          <w:t>4</w:t>
        </w:r>
        <w:r w:rsidR="00F978B5">
          <w:rPr>
            <w:webHidden/>
          </w:rPr>
          <w:fldChar w:fldCharType="end"/>
        </w:r>
      </w:hyperlink>
    </w:p>
    <w:p w:rsidR="00F978B5" w:rsidRDefault="009D2A3F">
      <w:pPr>
        <w:pStyle w:val="21"/>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E95AEE">
          <w:rPr>
            <w:webHidden/>
          </w:rPr>
          <w:t>6</w:t>
        </w:r>
        <w:r w:rsidR="00F978B5">
          <w:rPr>
            <w:webHidden/>
          </w:rPr>
          <w:fldChar w:fldCharType="end"/>
        </w:r>
      </w:hyperlink>
    </w:p>
    <w:p w:rsidR="00F978B5" w:rsidRDefault="009D2A3F">
      <w:pPr>
        <w:pStyle w:val="1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E95AEE">
          <w:rPr>
            <w:webHidden/>
          </w:rPr>
          <w:t>7</w:t>
        </w:r>
        <w:r w:rsidR="00F978B5">
          <w:rPr>
            <w:webHidden/>
          </w:rPr>
          <w:fldChar w:fldCharType="end"/>
        </w:r>
      </w:hyperlink>
    </w:p>
    <w:p w:rsidR="00F978B5" w:rsidRDefault="009D2A3F">
      <w:pPr>
        <w:pStyle w:val="1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E95AEE">
          <w:rPr>
            <w:webHidden/>
          </w:rPr>
          <w:t>7</w:t>
        </w:r>
        <w:r w:rsidR="00F978B5">
          <w:rPr>
            <w:webHidden/>
          </w:rPr>
          <w:fldChar w:fldCharType="end"/>
        </w:r>
      </w:hyperlink>
    </w:p>
    <w:p w:rsidR="00F978B5" w:rsidRDefault="009D2A3F">
      <w:pPr>
        <w:pStyle w:val="1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E95AEE">
          <w:rPr>
            <w:webHidden/>
          </w:rPr>
          <w:t>7</w:t>
        </w:r>
        <w:r w:rsidR="00F978B5">
          <w:rPr>
            <w:webHidden/>
          </w:rPr>
          <w:fldChar w:fldCharType="end"/>
        </w:r>
      </w:hyperlink>
    </w:p>
    <w:p w:rsidR="00F978B5" w:rsidRDefault="009D2A3F">
      <w:pPr>
        <w:pStyle w:val="1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E95AEE">
          <w:rPr>
            <w:webHidden/>
          </w:rPr>
          <w:t>8</w:t>
        </w:r>
        <w:r w:rsidR="00F978B5">
          <w:rPr>
            <w:webHidden/>
          </w:rPr>
          <w:fldChar w:fldCharType="end"/>
        </w:r>
      </w:hyperlink>
    </w:p>
    <w:p w:rsidR="00F978B5" w:rsidRDefault="009D2A3F">
      <w:pPr>
        <w:pStyle w:val="21"/>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E95AEE">
          <w:rPr>
            <w:webHidden/>
          </w:rPr>
          <w:t>8</w:t>
        </w:r>
        <w:r w:rsidR="00F978B5">
          <w:rPr>
            <w:webHidden/>
          </w:rPr>
          <w:fldChar w:fldCharType="end"/>
        </w:r>
      </w:hyperlink>
    </w:p>
    <w:p w:rsidR="00F978B5" w:rsidRDefault="009D2A3F">
      <w:pPr>
        <w:pStyle w:val="31"/>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E95AEE">
          <w:rPr>
            <w:webHidden/>
          </w:rPr>
          <w:t>8</w:t>
        </w:r>
        <w:r w:rsidR="00F978B5">
          <w:rPr>
            <w:webHidden/>
          </w:rPr>
          <w:fldChar w:fldCharType="end"/>
        </w:r>
      </w:hyperlink>
    </w:p>
    <w:p w:rsidR="00F978B5" w:rsidRDefault="009D2A3F">
      <w:pPr>
        <w:pStyle w:val="31"/>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E95AEE">
          <w:rPr>
            <w:webHidden/>
          </w:rPr>
          <w:t>9</w:t>
        </w:r>
        <w:r w:rsidR="00F978B5">
          <w:rPr>
            <w:webHidden/>
          </w:rPr>
          <w:fldChar w:fldCharType="end"/>
        </w:r>
      </w:hyperlink>
    </w:p>
    <w:p w:rsidR="00F978B5" w:rsidRDefault="009D2A3F">
      <w:pPr>
        <w:pStyle w:val="31"/>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E95AEE">
          <w:rPr>
            <w:webHidden/>
          </w:rPr>
          <w:t>9</w:t>
        </w:r>
        <w:r w:rsidR="00F978B5">
          <w:rPr>
            <w:webHidden/>
          </w:rPr>
          <w:fldChar w:fldCharType="end"/>
        </w:r>
      </w:hyperlink>
    </w:p>
    <w:p w:rsidR="00F978B5" w:rsidRDefault="009D2A3F">
      <w:pPr>
        <w:pStyle w:val="1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E95AEE">
          <w:rPr>
            <w:webHidden/>
          </w:rPr>
          <w:t>11</w:t>
        </w:r>
        <w:r w:rsidR="00F978B5">
          <w:rPr>
            <w:webHidden/>
          </w:rPr>
          <w:fldChar w:fldCharType="end"/>
        </w:r>
      </w:hyperlink>
    </w:p>
    <w:p w:rsidR="00F978B5" w:rsidRDefault="009D2A3F">
      <w:pPr>
        <w:pStyle w:val="21"/>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E95AEE">
          <w:rPr>
            <w:webHidden/>
          </w:rPr>
          <w:t>11</w:t>
        </w:r>
        <w:r w:rsidR="00F978B5">
          <w:rPr>
            <w:webHidden/>
          </w:rPr>
          <w:fldChar w:fldCharType="end"/>
        </w:r>
      </w:hyperlink>
    </w:p>
    <w:p w:rsidR="00F978B5" w:rsidRDefault="009D2A3F">
      <w:pPr>
        <w:pStyle w:val="21"/>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E95AEE">
          <w:rPr>
            <w:webHidden/>
          </w:rPr>
          <w:t>11</w:t>
        </w:r>
        <w:r w:rsidR="00F978B5">
          <w:rPr>
            <w:webHidden/>
          </w:rPr>
          <w:fldChar w:fldCharType="end"/>
        </w:r>
      </w:hyperlink>
    </w:p>
    <w:p w:rsidR="00F978B5" w:rsidRDefault="009D2A3F">
      <w:pPr>
        <w:pStyle w:val="1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E95AEE">
          <w:rPr>
            <w:webHidden/>
          </w:rPr>
          <w:t>12</w:t>
        </w:r>
        <w:r w:rsidR="00F978B5">
          <w:rPr>
            <w:webHidden/>
          </w:rPr>
          <w:fldChar w:fldCharType="end"/>
        </w:r>
      </w:hyperlink>
    </w:p>
    <w:p w:rsidR="00AA47FE" w:rsidRDefault="00D40158" w:rsidP="004C7D33">
      <w:pPr>
        <w:pStyle w:val="1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rsidR="00546490" w:rsidRDefault="00546490" w:rsidP="00546490">
      <w:pPr>
        <w:pStyle w:val="1"/>
      </w:pPr>
      <w:bookmarkStart w:id="13" w:name="_Toc452108759"/>
      <w:bookmarkStart w:id="14" w:name="_Toc13735908"/>
      <w:bookmarkStart w:id="15" w:name="_Toc50050011"/>
      <w:bookmarkStart w:id="16" w:name="_Toc58243666"/>
      <w:bookmarkStart w:id="17" w:name="TitleFormat"/>
      <w:bookmarkStart w:id="18" w:name="_Toc452108762"/>
      <w:bookmarkEnd w:id="12"/>
      <w:r w:rsidRPr="0000578F">
        <w:rPr>
          <w:rFonts w:hint="eastAsia"/>
        </w:rPr>
        <w:lastRenderedPageBreak/>
        <w:t>项目概况</w:t>
      </w:r>
      <w:bookmarkEnd w:id="13"/>
      <w:bookmarkEnd w:id="14"/>
      <w:bookmarkEnd w:id="15"/>
      <w:bookmarkEnd w:id="16"/>
    </w:p>
    <w:p w:rsidR="00546490" w:rsidRDefault="00546490" w:rsidP="00546490">
      <w:pPr>
        <w:pStyle w:val="a0"/>
        <w:ind w:firstLine="420"/>
        <w:rPr>
          <w:lang w:val="en-US"/>
        </w:rPr>
      </w:pPr>
      <w:bookmarkStart w:id="19" w:name="项目概况"/>
      <w:bookmarkEnd w:id="19"/>
    </w:p>
    <w:p w:rsidR="00546490" w:rsidRDefault="00546490" w:rsidP="00546490">
      <w:pPr>
        <w:pStyle w:val="a0"/>
        <w:ind w:firstLine="420"/>
        <w:rPr>
          <w:lang w:val="en-US"/>
        </w:rPr>
      </w:pPr>
    </w:p>
    <w:p w:rsidR="00546490" w:rsidRDefault="00546490" w:rsidP="00546490">
      <w:pPr>
        <w:pStyle w:val="a0"/>
        <w:ind w:firstLine="420"/>
        <w:rPr>
          <w:lang w:val="en-US"/>
        </w:rPr>
      </w:pPr>
    </w:p>
    <w:p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rsidR="00546490" w:rsidRDefault="00546490" w:rsidP="00546490">
      <w:pPr>
        <w:pStyle w:val="2"/>
      </w:pPr>
      <w:bookmarkStart w:id="20" w:name="_Toc452108760"/>
      <w:bookmarkStart w:id="21" w:name="_Toc13735909"/>
      <w:bookmarkStart w:id="22" w:name="_Toc50050012"/>
      <w:bookmarkStart w:id="23" w:name="_Toc58243667"/>
      <w:bookmarkStart w:id="24" w:name="平面图2"/>
      <w:r>
        <w:lastRenderedPageBreak/>
        <w:t>平面图</w:t>
      </w:r>
      <w:bookmarkEnd w:id="20"/>
      <w:bookmarkEnd w:id="21"/>
      <w:bookmarkEnd w:id="22"/>
      <w:bookmarkEnd w:id="23"/>
    </w:p>
    <w:p w:rsidR="00546490" w:rsidRDefault="00546490" w:rsidP="00546490">
      <w:pPr>
        <w:pStyle w:val="a0"/>
        <w:ind w:firstLineChars="0" w:firstLine="0"/>
        <w:jc w:val="center"/>
        <w:rPr>
          <w:lang w:val="en-US"/>
        </w:rPr>
      </w:pPr>
      <w:bookmarkStart w:id="25" w:name="平面图"/>
      <w:bookmarkEnd w:id="25"/>
      <w:r>
        <w:rPr>
          <w:noProof/>
          <w:lang w:val="en-US"/>
        </w:rPr>
        <w:drawing>
          <wp:inline distT="0" distB="0" distL="0" distR="0" wp14:anchorId="7B9EF917" wp14:editId="1CC6DEF2">
            <wp:extent cx="5667375" cy="3371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371850"/>
                    </a:xfrm>
                    <a:prstGeom prst="rect">
                      <a:avLst/>
                    </a:prstGeom>
                  </pic:spPr>
                </pic:pic>
              </a:graphicData>
            </a:graphic>
          </wp:inline>
        </w:drawing>
      </w:r>
    </w:p>
    <w:p w:rsidR="00AF6B87" w:rsidRDefault="009D2A3F">
      <w:pPr>
        <w:pStyle w:val="a0"/>
        <w:ind w:firstLineChars="0" w:firstLine="0"/>
        <w:jc w:val="center"/>
        <w:rPr>
          <w:lang w:val="en-US"/>
        </w:rPr>
      </w:pPr>
      <w:r>
        <w:rPr>
          <w:lang w:val="en-US"/>
        </w:rPr>
        <w:t>1</w:t>
      </w:r>
      <w:r>
        <w:rPr>
          <w:lang w:val="en-US"/>
        </w:rPr>
        <w:t>层平面</w:t>
      </w:r>
    </w:p>
    <w:p w:rsidR="00AF6B87" w:rsidRDefault="009D2A3F">
      <w:pPr>
        <w:pStyle w:val="a0"/>
        <w:ind w:firstLineChars="0" w:firstLine="0"/>
        <w:jc w:val="center"/>
        <w:rPr>
          <w:lang w:val="en-US"/>
        </w:rPr>
      </w:pPr>
      <w:r>
        <w:rPr>
          <w:noProof/>
          <w:lang w:val="en-US"/>
        </w:rPr>
        <w:drawing>
          <wp:inline distT="0" distB="0" distL="0" distR="0" wp14:anchorId="1463997F" wp14:editId="4C045DB9">
            <wp:extent cx="5667375" cy="39243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924300"/>
                    </a:xfrm>
                    <a:prstGeom prst="rect">
                      <a:avLst/>
                    </a:prstGeom>
                  </pic:spPr>
                </pic:pic>
              </a:graphicData>
            </a:graphic>
          </wp:inline>
        </w:drawing>
      </w:r>
    </w:p>
    <w:p w:rsidR="00AF6B87" w:rsidRDefault="009D2A3F">
      <w:pPr>
        <w:pStyle w:val="a0"/>
        <w:ind w:firstLineChars="0" w:firstLine="0"/>
        <w:jc w:val="center"/>
        <w:rPr>
          <w:lang w:val="en-US"/>
        </w:rPr>
      </w:pPr>
      <w:r>
        <w:rPr>
          <w:lang w:val="en-US"/>
        </w:rPr>
        <w:t>2</w:t>
      </w:r>
      <w:r>
        <w:rPr>
          <w:lang w:val="en-US"/>
        </w:rPr>
        <w:t>层平面</w:t>
      </w:r>
    </w:p>
    <w:p w:rsidR="00AF6B87" w:rsidRDefault="009D2A3F">
      <w:pPr>
        <w:pStyle w:val="a0"/>
        <w:ind w:firstLineChars="0" w:firstLine="0"/>
        <w:jc w:val="center"/>
        <w:rPr>
          <w:lang w:val="en-US"/>
        </w:rPr>
      </w:pPr>
      <w:r>
        <w:rPr>
          <w:noProof/>
          <w:lang w:val="en-US"/>
        </w:rPr>
        <w:lastRenderedPageBreak/>
        <w:drawing>
          <wp:inline distT="0" distB="0" distL="0" distR="0" wp14:anchorId="5E8C7213" wp14:editId="4D012402">
            <wp:extent cx="5667375" cy="42386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238625"/>
                    </a:xfrm>
                    <a:prstGeom prst="rect">
                      <a:avLst/>
                    </a:prstGeom>
                  </pic:spPr>
                </pic:pic>
              </a:graphicData>
            </a:graphic>
          </wp:inline>
        </w:drawing>
      </w:r>
    </w:p>
    <w:p w:rsidR="00AF6B87" w:rsidRDefault="009D2A3F">
      <w:pPr>
        <w:pStyle w:val="a0"/>
        <w:ind w:firstLineChars="0" w:firstLine="0"/>
        <w:jc w:val="center"/>
        <w:rPr>
          <w:lang w:val="en-US"/>
        </w:rPr>
      </w:pPr>
      <w:r>
        <w:rPr>
          <w:lang w:val="en-US"/>
        </w:rPr>
        <w:t>3</w:t>
      </w:r>
      <w:r>
        <w:rPr>
          <w:lang w:val="en-US"/>
        </w:rPr>
        <w:t>层平面</w:t>
      </w:r>
    </w:p>
    <w:p w:rsidR="00AF6B87" w:rsidRDefault="009D2A3F">
      <w:pPr>
        <w:pStyle w:val="a0"/>
        <w:ind w:firstLineChars="0" w:firstLine="0"/>
        <w:jc w:val="center"/>
        <w:rPr>
          <w:lang w:val="en-US"/>
        </w:rPr>
      </w:pPr>
      <w:r>
        <w:rPr>
          <w:noProof/>
          <w:lang w:val="en-US"/>
        </w:rPr>
        <w:drawing>
          <wp:inline distT="0" distB="0" distL="0" distR="0" wp14:anchorId="3FCF4A27" wp14:editId="0E5C8374">
            <wp:extent cx="5667375" cy="42005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200525"/>
                    </a:xfrm>
                    <a:prstGeom prst="rect">
                      <a:avLst/>
                    </a:prstGeom>
                  </pic:spPr>
                </pic:pic>
              </a:graphicData>
            </a:graphic>
          </wp:inline>
        </w:drawing>
      </w:r>
    </w:p>
    <w:p w:rsidR="00AF6B87" w:rsidRDefault="009D2A3F">
      <w:pPr>
        <w:pStyle w:val="a0"/>
        <w:ind w:firstLineChars="0" w:firstLine="0"/>
        <w:jc w:val="center"/>
        <w:rPr>
          <w:lang w:val="en-US"/>
        </w:rPr>
      </w:pPr>
      <w:r>
        <w:rPr>
          <w:lang w:val="en-US"/>
        </w:rPr>
        <w:t>4</w:t>
      </w:r>
      <w:r>
        <w:rPr>
          <w:lang w:val="en-US"/>
        </w:rPr>
        <w:t>层平面</w:t>
      </w:r>
    </w:p>
    <w:p w:rsidR="00AF6B87" w:rsidRDefault="009D2A3F">
      <w:pPr>
        <w:pStyle w:val="a0"/>
        <w:ind w:firstLineChars="0" w:firstLine="0"/>
        <w:jc w:val="center"/>
        <w:rPr>
          <w:lang w:val="en-US"/>
        </w:rPr>
      </w:pPr>
      <w:r>
        <w:rPr>
          <w:noProof/>
          <w:lang w:val="en-US"/>
        </w:rPr>
        <w:lastRenderedPageBreak/>
        <w:drawing>
          <wp:inline distT="0" distB="0" distL="0" distR="0" wp14:anchorId="0E2B9EFC" wp14:editId="3A7ED29C">
            <wp:extent cx="5667375" cy="50482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48250"/>
                    </a:xfrm>
                    <a:prstGeom prst="rect">
                      <a:avLst/>
                    </a:prstGeom>
                  </pic:spPr>
                </pic:pic>
              </a:graphicData>
            </a:graphic>
          </wp:inline>
        </w:drawing>
      </w:r>
    </w:p>
    <w:p w:rsidR="00AF6B87" w:rsidRDefault="009D2A3F">
      <w:pPr>
        <w:pStyle w:val="a0"/>
        <w:ind w:firstLineChars="0" w:firstLine="0"/>
        <w:jc w:val="center"/>
        <w:rPr>
          <w:lang w:val="en-US"/>
        </w:rPr>
      </w:pPr>
      <w:r>
        <w:rPr>
          <w:lang w:val="en-US"/>
        </w:rPr>
        <w:t>5</w:t>
      </w:r>
      <w:r>
        <w:rPr>
          <w:lang w:val="en-US"/>
        </w:rPr>
        <w:t>层平面</w:t>
      </w:r>
    </w:p>
    <w:p w:rsidR="00AF6B87" w:rsidRDefault="00AF6B87">
      <w:pPr>
        <w:pStyle w:val="a0"/>
        <w:ind w:firstLineChars="0" w:firstLine="0"/>
        <w:jc w:val="center"/>
        <w:rPr>
          <w:lang w:val="en-US"/>
        </w:rPr>
      </w:pPr>
    </w:p>
    <w:bookmarkEnd w:id="24"/>
    <w:p w:rsidR="00546490" w:rsidRDefault="00546490" w:rsidP="00546490">
      <w:pPr>
        <w:pStyle w:val="a0"/>
        <w:ind w:firstLineChars="0" w:firstLine="0"/>
        <w:jc w:val="center"/>
        <w:rPr>
          <w:lang w:val="en-US"/>
        </w:rPr>
      </w:pPr>
    </w:p>
    <w:p w:rsidR="00546490" w:rsidRDefault="00546490" w:rsidP="00546490">
      <w:pPr>
        <w:pStyle w:val="2"/>
      </w:pPr>
      <w:bookmarkStart w:id="26" w:name="_Toc452108761"/>
      <w:bookmarkStart w:id="27" w:name="_Toc13735910"/>
      <w:bookmarkStart w:id="28" w:name="_Toc50050013"/>
      <w:bookmarkStart w:id="29" w:name="_Toc58243668"/>
      <w:r>
        <w:rPr>
          <w:rFonts w:hint="eastAsia"/>
        </w:rPr>
        <w:t>三</w:t>
      </w:r>
      <w:r>
        <w:t>维视图</w:t>
      </w:r>
      <w:bookmarkEnd w:id="26"/>
      <w:bookmarkEnd w:id="27"/>
      <w:bookmarkEnd w:id="28"/>
      <w:bookmarkEnd w:id="29"/>
    </w:p>
    <w:p w:rsidR="00546490" w:rsidRDefault="00546490" w:rsidP="00546490">
      <w:pPr>
        <w:pStyle w:val="a0"/>
        <w:ind w:firstLineChars="0" w:firstLine="0"/>
        <w:jc w:val="center"/>
        <w:rPr>
          <w:lang w:val="en-US"/>
        </w:rPr>
      </w:pPr>
      <w:bookmarkStart w:id="30" w:name="三维视图"/>
      <w:bookmarkStart w:id="31" w:name="模型观察"/>
      <w:r>
        <w:t>请先在【模型观察】命令中保存图片</w:t>
      </w:r>
      <w:bookmarkEnd w:id="30"/>
      <w:bookmarkEnd w:id="31"/>
    </w:p>
    <w:p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32" w:name="_Toc50050014"/>
      <w:bookmarkStart w:id="33" w:name="_Toc58243669"/>
      <w:r>
        <w:rPr>
          <w:rFonts w:hint="eastAsia"/>
        </w:rPr>
        <w:lastRenderedPageBreak/>
        <w:t>计算</w:t>
      </w:r>
      <w:r>
        <w:t>依据</w:t>
      </w:r>
      <w:bookmarkEnd w:id="17"/>
      <w:bookmarkEnd w:id="18"/>
      <w:bookmarkEnd w:id="32"/>
      <w:bookmarkEnd w:id="33"/>
    </w:p>
    <w:p w:rsidR="00DF67BB" w:rsidRDefault="00DF67BB" w:rsidP="00DF67BB">
      <w:pPr>
        <w:pStyle w:val="a0"/>
        <w:ind w:firstLineChars="95" w:firstLine="199"/>
        <w:rPr>
          <w:lang w:val="en-US"/>
        </w:rPr>
      </w:pPr>
      <w:bookmarkStart w:id="34" w:name="_Toc452108763"/>
      <w:r>
        <w:rPr>
          <w:rFonts w:hint="eastAsia"/>
          <w:lang w:val="en-US"/>
        </w:rPr>
        <w:t>本项目主要参照资料为：</w:t>
      </w:r>
    </w:p>
    <w:p w:rsidR="00DF67BB" w:rsidRDefault="00DF67BB" w:rsidP="00DF67BB">
      <w:pPr>
        <w:pStyle w:val="a0"/>
        <w:numPr>
          <w:ilvl w:val="0"/>
          <w:numId w:val="2"/>
        </w:numPr>
        <w:ind w:left="0" w:firstLineChars="0" w:firstLine="200"/>
        <w:rPr>
          <w:lang w:val="en-US"/>
        </w:rPr>
      </w:pPr>
      <w:bookmarkStart w:id="35" w:name="参考标准名称1"/>
      <w:r>
        <w:rPr>
          <w:rFonts w:hint="eastAsia"/>
          <w:lang w:val="en-US"/>
        </w:rPr>
        <w:t>《绿色建筑评价标准》</w:t>
      </w:r>
      <w:r>
        <w:rPr>
          <w:rFonts w:hint="eastAsia"/>
          <w:lang w:val="en-US"/>
        </w:rPr>
        <w:t>GB/T50378-2019</w:t>
      </w:r>
      <w:bookmarkEnd w:id="35"/>
    </w:p>
    <w:p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rsidR="00DF67BB" w:rsidRPr="00276796" w:rsidRDefault="00DF67BB" w:rsidP="00485FD3">
      <w:pPr>
        <w:pStyle w:val="a0"/>
        <w:ind w:left="200" w:firstLineChars="0" w:firstLine="0"/>
        <w:rPr>
          <w:lang w:val="en-US"/>
        </w:rPr>
      </w:pPr>
    </w:p>
    <w:p w:rsidR="0000578F" w:rsidRDefault="0000578F" w:rsidP="0000578F">
      <w:pPr>
        <w:pStyle w:val="1"/>
      </w:pPr>
      <w:bookmarkStart w:id="36" w:name="_Toc50050015"/>
      <w:bookmarkStart w:id="37" w:name="_Toc58243670"/>
      <w:r>
        <w:rPr>
          <w:rFonts w:hint="eastAsia"/>
        </w:rPr>
        <w:t>参考</w:t>
      </w:r>
      <w:r>
        <w:t>标准</w:t>
      </w:r>
      <w:bookmarkEnd w:id="34"/>
      <w:bookmarkEnd w:id="36"/>
      <w:bookmarkEnd w:id="37"/>
    </w:p>
    <w:p w:rsidR="005E49E5" w:rsidRPr="008E2A42" w:rsidRDefault="005E49E5" w:rsidP="008E2A42">
      <w:pPr>
        <w:pStyle w:val="a0"/>
        <w:ind w:firstLine="420"/>
        <w:rPr>
          <w:lang w:val="en-US"/>
        </w:rPr>
      </w:pPr>
      <w:bookmarkStart w:id="38" w:name="_Toc451698935"/>
      <w:bookmarkStart w:id="39" w:name="_Toc452108764"/>
      <w:bookmarkStart w:id="40" w:name="_Toc451436145"/>
      <w:r>
        <w:rPr>
          <w:rFonts w:hint="eastAsia"/>
          <w:lang w:val="en-US"/>
        </w:rPr>
        <w:t>室内气流组织</w:t>
      </w:r>
      <w:r w:rsidRPr="008E2A42">
        <w:rPr>
          <w:rFonts w:hint="eastAsia"/>
          <w:lang w:val="en-US"/>
        </w:rPr>
        <w:t>评价的主要依据为</w:t>
      </w:r>
      <w:bookmarkStart w:id="41" w:name="参考标准名称2"/>
      <w:r w:rsidRPr="008E2A42">
        <w:rPr>
          <w:rFonts w:hint="eastAsia"/>
          <w:lang w:val="en-US"/>
        </w:rPr>
        <w:t>《绿色建筑评价标准》</w:t>
      </w:r>
      <w:r w:rsidRPr="008E2A42">
        <w:rPr>
          <w:rFonts w:hint="eastAsia"/>
          <w:lang w:val="en-US"/>
        </w:rPr>
        <w:t>GB/T50378-2019</w:t>
      </w:r>
      <w:bookmarkEnd w:id="41"/>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rsidR="005E49E5" w:rsidRDefault="005E49E5" w:rsidP="0000578F">
      <w:pPr>
        <w:pStyle w:val="1"/>
      </w:pPr>
      <w:bookmarkStart w:id="42" w:name="_Toc50050016"/>
      <w:bookmarkStart w:id="43" w:name="_Toc58243671"/>
      <w:r>
        <w:rPr>
          <w:rFonts w:hint="eastAsia"/>
        </w:rPr>
        <w:t>技术</w:t>
      </w:r>
      <w:r w:rsidR="00C6186A">
        <w:rPr>
          <w:rFonts w:hint="eastAsia"/>
        </w:rPr>
        <w:t>措施</w:t>
      </w:r>
      <w:bookmarkEnd w:id="42"/>
      <w:bookmarkEnd w:id="43"/>
    </w:p>
    <w:p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AF6B87">
        <w:tc>
          <w:tcPr>
            <w:tcW w:w="2518" w:type="dxa"/>
            <w:shd w:val="clear" w:color="auto" w:fill="E6E6E6"/>
            <w:vAlign w:val="center"/>
          </w:tcPr>
          <w:p w:rsidR="00AF6B87" w:rsidRDefault="009D2A3F">
            <w:pPr>
              <w:jc w:val="center"/>
              <w:rPr>
                <w:szCs w:val="21"/>
              </w:rPr>
            </w:pPr>
            <w:r>
              <w:rPr>
                <w:szCs w:val="21"/>
              </w:rPr>
              <w:t>房间类型</w:t>
            </w:r>
          </w:p>
        </w:tc>
        <w:tc>
          <w:tcPr>
            <w:tcW w:w="7199" w:type="dxa"/>
            <w:shd w:val="clear" w:color="auto" w:fill="E6E6E6"/>
            <w:vAlign w:val="center"/>
          </w:tcPr>
          <w:p w:rsidR="00AF6B87" w:rsidRDefault="009D2A3F">
            <w:pPr>
              <w:jc w:val="center"/>
              <w:rPr>
                <w:szCs w:val="21"/>
              </w:rPr>
            </w:pPr>
            <w:r>
              <w:rPr>
                <w:szCs w:val="21"/>
              </w:rPr>
              <w:t>措施</w:t>
            </w:r>
          </w:p>
        </w:tc>
      </w:tr>
      <w:tr w:rsidR="00AF6B87">
        <w:tc>
          <w:tcPr>
            <w:tcW w:w="2518" w:type="dxa"/>
            <w:vMerge w:val="restart"/>
            <w:vAlign w:val="center"/>
          </w:tcPr>
          <w:p w:rsidR="00AF6B87" w:rsidRDefault="009D2A3F">
            <w:pPr>
              <w:rPr>
                <w:szCs w:val="21"/>
              </w:rPr>
            </w:pPr>
            <w:r>
              <w:rPr>
                <w:szCs w:val="21"/>
              </w:rPr>
              <w:t>厨房</w:t>
            </w:r>
          </w:p>
        </w:tc>
        <w:tc>
          <w:tcPr>
            <w:tcW w:w="7199" w:type="dxa"/>
            <w:vAlign w:val="center"/>
          </w:tcPr>
          <w:p w:rsidR="00AF6B87" w:rsidRDefault="009D2A3F">
            <w:pPr>
              <w:rPr>
                <w:szCs w:val="21"/>
              </w:rPr>
            </w:pPr>
            <w:r>
              <w:rPr>
                <w:szCs w:val="21"/>
              </w:rPr>
              <w:t>置于自然通风负压侧</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设置可关闭的门</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安装抽油烟机</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设置竖向排风道</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采用双烟道设计</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排气道设计有利于排气通畅</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安装止回排气阀、放倒灌风帽</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风口位置合理，进排风无短路</w:t>
            </w:r>
            <w:r>
              <w:rPr>
                <w:szCs w:val="21"/>
              </w:rPr>
              <w:t>/</w:t>
            </w:r>
            <w:r>
              <w:rPr>
                <w:szCs w:val="21"/>
              </w:rPr>
              <w:t>无污染</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排放位置合理，远离其他空间</w:t>
            </w:r>
            <w:r>
              <w:rPr>
                <w:szCs w:val="21"/>
              </w:rPr>
              <w:t>/</w:t>
            </w:r>
            <w:r>
              <w:rPr>
                <w:szCs w:val="21"/>
              </w:rPr>
              <w:t>室外人员活动区</w:t>
            </w:r>
          </w:p>
        </w:tc>
      </w:tr>
      <w:tr w:rsidR="00AF6B87">
        <w:tc>
          <w:tcPr>
            <w:tcW w:w="2518" w:type="dxa"/>
            <w:vMerge w:val="restart"/>
            <w:vAlign w:val="center"/>
          </w:tcPr>
          <w:p w:rsidR="00AF6B87" w:rsidRDefault="009D2A3F">
            <w:pPr>
              <w:rPr>
                <w:szCs w:val="21"/>
              </w:rPr>
            </w:pPr>
            <w:r>
              <w:rPr>
                <w:szCs w:val="21"/>
              </w:rPr>
              <w:t>卫生间</w:t>
            </w:r>
          </w:p>
        </w:tc>
        <w:tc>
          <w:tcPr>
            <w:tcW w:w="7199" w:type="dxa"/>
            <w:vAlign w:val="center"/>
          </w:tcPr>
          <w:p w:rsidR="00AF6B87" w:rsidRDefault="009D2A3F">
            <w:pPr>
              <w:rPr>
                <w:szCs w:val="21"/>
              </w:rPr>
            </w:pPr>
            <w:r>
              <w:rPr>
                <w:szCs w:val="21"/>
              </w:rPr>
              <w:t>置于自然通风负压侧</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设置可关闭的门</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安装排气扇</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设置竖向排风道</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排气道设计有利于排气通畅</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安装止回排气阀、放倒灌风帽</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风口位置合理，进排风无短路</w:t>
            </w:r>
            <w:r>
              <w:rPr>
                <w:szCs w:val="21"/>
              </w:rPr>
              <w:t>/</w:t>
            </w:r>
            <w:r>
              <w:rPr>
                <w:szCs w:val="21"/>
              </w:rPr>
              <w:t>无污染</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排放位置合理，远离其他空间</w:t>
            </w:r>
            <w:r>
              <w:rPr>
                <w:szCs w:val="21"/>
              </w:rPr>
              <w:t>/</w:t>
            </w:r>
            <w:r>
              <w:rPr>
                <w:szCs w:val="21"/>
              </w:rPr>
              <w:t>室外人员活动区</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设置气窗（公共卫生间、浴室）</w:t>
            </w:r>
          </w:p>
        </w:tc>
      </w:tr>
      <w:tr w:rsidR="00AF6B87">
        <w:tc>
          <w:tcPr>
            <w:tcW w:w="2518" w:type="dxa"/>
            <w:vMerge w:val="restart"/>
            <w:vAlign w:val="center"/>
          </w:tcPr>
          <w:p w:rsidR="00AF6B87" w:rsidRDefault="009D2A3F">
            <w:pPr>
              <w:rPr>
                <w:szCs w:val="21"/>
              </w:rPr>
            </w:pPr>
            <w:r>
              <w:rPr>
                <w:szCs w:val="21"/>
              </w:rPr>
              <w:lastRenderedPageBreak/>
              <w:t>餐厅</w:t>
            </w:r>
          </w:p>
        </w:tc>
        <w:tc>
          <w:tcPr>
            <w:tcW w:w="7199" w:type="dxa"/>
            <w:vAlign w:val="center"/>
          </w:tcPr>
          <w:p w:rsidR="00AF6B87" w:rsidRDefault="009D2A3F">
            <w:pPr>
              <w:rPr>
                <w:szCs w:val="21"/>
              </w:rPr>
            </w:pPr>
            <w:r>
              <w:rPr>
                <w:szCs w:val="21"/>
              </w:rPr>
              <w:t>设置可关闭的门</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安装抽油烟机</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设置负压排风系统</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风口位置合理，进排风无短路</w:t>
            </w:r>
            <w:r>
              <w:rPr>
                <w:szCs w:val="21"/>
              </w:rPr>
              <w:t>/</w:t>
            </w:r>
            <w:r>
              <w:rPr>
                <w:szCs w:val="21"/>
              </w:rPr>
              <w:t>无污染</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排放位置合理，远离其他空间</w:t>
            </w:r>
            <w:r>
              <w:rPr>
                <w:szCs w:val="21"/>
              </w:rPr>
              <w:t>/</w:t>
            </w:r>
            <w:r>
              <w:rPr>
                <w:szCs w:val="21"/>
              </w:rPr>
              <w:t>室外人员活动区</w:t>
            </w:r>
          </w:p>
        </w:tc>
      </w:tr>
      <w:tr w:rsidR="00AF6B87">
        <w:tc>
          <w:tcPr>
            <w:tcW w:w="2518" w:type="dxa"/>
            <w:vMerge w:val="restart"/>
            <w:vAlign w:val="center"/>
          </w:tcPr>
          <w:p w:rsidR="00AF6B87" w:rsidRDefault="009D2A3F">
            <w:pPr>
              <w:rPr>
                <w:szCs w:val="21"/>
              </w:rPr>
            </w:pPr>
            <w:r>
              <w:rPr>
                <w:szCs w:val="21"/>
              </w:rPr>
              <w:t>打印复印室</w:t>
            </w:r>
          </w:p>
        </w:tc>
        <w:tc>
          <w:tcPr>
            <w:tcW w:w="7199" w:type="dxa"/>
            <w:vAlign w:val="center"/>
          </w:tcPr>
          <w:p w:rsidR="00AF6B87" w:rsidRDefault="009D2A3F">
            <w:pPr>
              <w:rPr>
                <w:szCs w:val="21"/>
              </w:rPr>
            </w:pPr>
            <w:r>
              <w:rPr>
                <w:szCs w:val="21"/>
              </w:rPr>
              <w:t>设置可关闭的门</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设置负压机械排风</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安装止回排气阀、放倒灌风帽</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风口位置合理，无短路</w:t>
            </w:r>
            <w:r>
              <w:rPr>
                <w:szCs w:val="21"/>
              </w:rPr>
              <w:t>/</w:t>
            </w:r>
            <w:r>
              <w:rPr>
                <w:szCs w:val="21"/>
              </w:rPr>
              <w:t>无污染</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排放位置合理，远离其他空间</w:t>
            </w:r>
            <w:r>
              <w:rPr>
                <w:szCs w:val="21"/>
              </w:rPr>
              <w:t>/</w:t>
            </w:r>
            <w:r>
              <w:rPr>
                <w:szCs w:val="21"/>
              </w:rPr>
              <w:t>室外人员活动区</w:t>
            </w:r>
          </w:p>
        </w:tc>
      </w:tr>
      <w:tr w:rsidR="00AF6B87">
        <w:tc>
          <w:tcPr>
            <w:tcW w:w="2518" w:type="dxa"/>
            <w:vMerge w:val="restart"/>
            <w:vAlign w:val="center"/>
          </w:tcPr>
          <w:p w:rsidR="00AF6B87" w:rsidRDefault="009D2A3F">
            <w:pPr>
              <w:rPr>
                <w:szCs w:val="21"/>
              </w:rPr>
            </w:pPr>
            <w:r>
              <w:rPr>
                <w:szCs w:val="21"/>
              </w:rPr>
              <w:t>地下车库</w:t>
            </w:r>
          </w:p>
        </w:tc>
        <w:tc>
          <w:tcPr>
            <w:tcW w:w="7199" w:type="dxa"/>
            <w:vAlign w:val="center"/>
          </w:tcPr>
          <w:p w:rsidR="00AF6B87" w:rsidRDefault="009D2A3F">
            <w:pPr>
              <w:rPr>
                <w:szCs w:val="21"/>
              </w:rPr>
            </w:pPr>
            <w:r>
              <w:rPr>
                <w:szCs w:val="21"/>
              </w:rPr>
              <w:t>设置可关闭的门</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设置负压机械排风</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安装止回排气阀、放倒灌风帽</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风口位置合理，无短路</w:t>
            </w:r>
            <w:r>
              <w:rPr>
                <w:szCs w:val="21"/>
              </w:rPr>
              <w:t>/</w:t>
            </w:r>
            <w:r>
              <w:rPr>
                <w:szCs w:val="21"/>
              </w:rPr>
              <w:t>无污染</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排风系统独立</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排放位置合理，远离其他空间</w:t>
            </w:r>
            <w:r>
              <w:rPr>
                <w:szCs w:val="21"/>
              </w:rPr>
              <w:t>/</w:t>
            </w:r>
            <w:r>
              <w:rPr>
                <w:szCs w:val="21"/>
              </w:rPr>
              <w:t>室外人员活动区</w:t>
            </w:r>
          </w:p>
        </w:tc>
      </w:tr>
      <w:tr w:rsidR="00AF6B87">
        <w:tc>
          <w:tcPr>
            <w:tcW w:w="2518" w:type="dxa"/>
            <w:vMerge w:val="restart"/>
            <w:vAlign w:val="center"/>
          </w:tcPr>
          <w:p w:rsidR="00AF6B87" w:rsidRDefault="009D2A3F">
            <w:pPr>
              <w:rPr>
                <w:szCs w:val="21"/>
              </w:rPr>
            </w:pPr>
            <w:r>
              <w:rPr>
                <w:szCs w:val="21"/>
              </w:rPr>
              <w:t>垃圾房</w:t>
            </w:r>
          </w:p>
        </w:tc>
        <w:tc>
          <w:tcPr>
            <w:tcW w:w="7199" w:type="dxa"/>
            <w:vAlign w:val="center"/>
          </w:tcPr>
          <w:p w:rsidR="00AF6B87" w:rsidRDefault="009D2A3F">
            <w:pPr>
              <w:rPr>
                <w:szCs w:val="21"/>
              </w:rPr>
            </w:pPr>
            <w:r>
              <w:rPr>
                <w:szCs w:val="21"/>
              </w:rPr>
              <w:t>设置可关闭的门</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设置负压机械排风</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安装止回排气阀、放倒灌风帽</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风口位置合理，无短路</w:t>
            </w:r>
            <w:r>
              <w:rPr>
                <w:szCs w:val="21"/>
              </w:rPr>
              <w:t>/</w:t>
            </w:r>
            <w:r>
              <w:rPr>
                <w:szCs w:val="21"/>
              </w:rPr>
              <w:t>无污染</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排风系统独立</w:t>
            </w:r>
          </w:p>
        </w:tc>
      </w:tr>
      <w:tr w:rsidR="00AF6B87">
        <w:tc>
          <w:tcPr>
            <w:tcW w:w="2518" w:type="dxa"/>
            <w:vMerge/>
            <w:vAlign w:val="center"/>
          </w:tcPr>
          <w:p w:rsidR="00AF6B87" w:rsidRDefault="00AF6B87">
            <w:pPr>
              <w:rPr>
                <w:szCs w:val="21"/>
              </w:rPr>
            </w:pPr>
          </w:p>
        </w:tc>
        <w:tc>
          <w:tcPr>
            <w:tcW w:w="7199" w:type="dxa"/>
            <w:vAlign w:val="center"/>
          </w:tcPr>
          <w:p w:rsidR="00AF6B87" w:rsidRDefault="009D2A3F">
            <w:pPr>
              <w:rPr>
                <w:szCs w:val="21"/>
              </w:rPr>
            </w:pPr>
            <w:r>
              <w:rPr>
                <w:szCs w:val="21"/>
              </w:rPr>
              <w:t>排放位置合理，远离其他空间</w:t>
            </w:r>
            <w:r>
              <w:rPr>
                <w:szCs w:val="21"/>
              </w:rPr>
              <w:t>/</w:t>
            </w:r>
            <w:r>
              <w:rPr>
                <w:szCs w:val="21"/>
              </w:rPr>
              <w:t>室外人员活动区</w:t>
            </w:r>
          </w:p>
        </w:tc>
      </w:tr>
    </w:tbl>
    <w:p w:rsidR="00A31766" w:rsidRPr="00515CA9" w:rsidRDefault="00A31766" w:rsidP="00515CA9">
      <w:pPr>
        <w:pStyle w:val="a0"/>
        <w:ind w:firstLine="420"/>
        <w:rPr>
          <w:lang w:val="en-US"/>
        </w:rPr>
      </w:pPr>
      <w:bookmarkStart w:id="44" w:name="技术措施"/>
      <w:bookmarkEnd w:id="44"/>
    </w:p>
    <w:p w:rsidR="0000578F" w:rsidRDefault="005E49E5" w:rsidP="0000578F">
      <w:pPr>
        <w:pStyle w:val="1"/>
      </w:pPr>
      <w:bookmarkStart w:id="45" w:name="_Toc50050017"/>
      <w:bookmarkStart w:id="46" w:name="_Toc58243672"/>
      <w:r>
        <w:rPr>
          <w:rFonts w:hint="eastAsia"/>
        </w:rPr>
        <w:t>计算</w:t>
      </w:r>
      <w:bookmarkEnd w:id="38"/>
      <w:bookmarkEnd w:id="39"/>
      <w:r>
        <w:rPr>
          <w:rFonts w:hint="eastAsia"/>
        </w:rPr>
        <w:t>方法</w:t>
      </w:r>
      <w:bookmarkEnd w:id="45"/>
      <w:bookmarkEnd w:id="46"/>
    </w:p>
    <w:p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r w:rsidR="00CE2A66">
        <w:rPr>
          <w:rFonts w:hint="eastAsia"/>
          <w:lang w:val="en-US"/>
        </w:rPr>
        <w:t>计提供依据</w:t>
      </w:r>
      <w:r>
        <w:rPr>
          <w:rFonts w:hint="eastAsia"/>
          <w:lang w:val="en-US"/>
        </w:rPr>
        <w:t>。</w:t>
      </w:r>
    </w:p>
    <w:p w:rsidR="008E2A42" w:rsidRPr="008E2A42" w:rsidRDefault="008E2A42" w:rsidP="00DC62E7">
      <w:pPr>
        <w:pStyle w:val="2"/>
      </w:pPr>
      <w:bookmarkStart w:id="47" w:name="_Toc50050018"/>
      <w:bookmarkStart w:id="48" w:name="_Toc58243673"/>
      <w:r>
        <w:t>CFD</w:t>
      </w:r>
      <w:r>
        <w:rPr>
          <w:rFonts w:hint="eastAsia"/>
        </w:rPr>
        <w:t>计算原理</w:t>
      </w:r>
      <w:bookmarkEnd w:id="47"/>
      <w:bookmarkEnd w:id="48"/>
    </w:p>
    <w:p w:rsidR="008E2A42" w:rsidRDefault="008E2A42" w:rsidP="008E2A42">
      <w:pPr>
        <w:pStyle w:val="3"/>
      </w:pPr>
      <w:bookmarkStart w:id="49" w:name="_Toc50050019"/>
      <w:bookmarkStart w:id="50" w:name="_Toc58243674"/>
      <w:bookmarkStart w:id="51" w:name="_Toc451698937"/>
      <w:bookmarkStart w:id="52" w:name="_Toc452108765"/>
      <w:r>
        <w:rPr>
          <w:rFonts w:hint="eastAsia"/>
        </w:rPr>
        <w:t>湍流模型</w:t>
      </w:r>
      <w:bookmarkEnd w:id="49"/>
      <w:bookmarkEnd w:id="50"/>
    </w:p>
    <w:p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rsidTr="00406B4D">
        <w:trPr>
          <w:trHeight w:val="1219"/>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lastRenderedPageBreak/>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rsidTr="00406B4D">
        <w:trPr>
          <w:trHeight w:val="855"/>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rsidTr="00406B4D">
        <w:trPr>
          <w:trHeight w:val="570"/>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旋转流动、强逆压梯度的边界层流动、流动分离和二次流，类似于RNG</w:t>
            </w:r>
          </w:p>
        </w:tc>
      </w:tr>
    </w:tbl>
    <w:p w:rsidR="008E2A42" w:rsidRPr="00F37BBC" w:rsidRDefault="008E2A42" w:rsidP="008E2A42">
      <w:pPr>
        <w:pStyle w:val="3"/>
        <w:tabs>
          <w:tab w:val="num" w:pos="360"/>
          <w:tab w:val="left" w:pos="578"/>
        </w:tabs>
        <w:ind w:left="0" w:firstLine="0"/>
      </w:pPr>
      <w:bookmarkStart w:id="53" w:name="_Toc451698938"/>
      <w:bookmarkStart w:id="54" w:name="_Toc452108766"/>
      <w:bookmarkStart w:id="55" w:name="_Toc8151"/>
      <w:bookmarkStart w:id="56" w:name="_Toc50050020"/>
      <w:bookmarkStart w:id="57" w:name="_Toc58243675"/>
      <w:r w:rsidRPr="00F37BBC">
        <w:rPr>
          <w:rFonts w:hint="eastAsia"/>
        </w:rPr>
        <w:t>边界条件</w:t>
      </w:r>
      <w:bookmarkEnd w:id="53"/>
      <w:bookmarkEnd w:id="54"/>
      <w:bookmarkEnd w:id="55"/>
      <w:bookmarkEnd w:id="56"/>
      <w:bookmarkEnd w:id="57"/>
    </w:p>
    <w:p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rsidR="008E2A42" w:rsidRPr="0085081C" w:rsidRDefault="008E2A42" w:rsidP="008E2A42">
      <w:pPr>
        <w:pStyle w:val="3"/>
        <w:tabs>
          <w:tab w:val="num" w:pos="360"/>
          <w:tab w:val="left" w:pos="578"/>
        </w:tabs>
        <w:ind w:left="0" w:firstLine="0"/>
      </w:pPr>
      <w:bookmarkStart w:id="58" w:name="_Toc451698939"/>
      <w:bookmarkStart w:id="59" w:name="_Toc452108767"/>
      <w:bookmarkStart w:id="60" w:name="_Toc23583"/>
      <w:bookmarkStart w:id="61" w:name="_Toc50050021"/>
      <w:bookmarkStart w:id="62" w:name="_Toc58243676"/>
      <w:r>
        <w:rPr>
          <w:rFonts w:hint="eastAsia"/>
        </w:rPr>
        <w:t>求解计算</w:t>
      </w:r>
      <w:bookmarkEnd w:id="58"/>
      <w:bookmarkEnd w:id="59"/>
      <w:bookmarkEnd w:id="60"/>
      <w:bookmarkEnd w:id="61"/>
      <w:bookmarkEnd w:id="62"/>
    </w:p>
    <w:p w:rsidR="008E2A42" w:rsidRDefault="008E2A42" w:rsidP="002611A7">
      <w:pPr>
        <w:pStyle w:val="a0"/>
        <w:numPr>
          <w:ilvl w:val="0"/>
          <w:numId w:val="5"/>
        </w:numPr>
        <w:ind w:left="0" w:firstLineChars="0" w:firstLine="0"/>
        <w:rPr>
          <w:b/>
          <w:lang w:val="en-US"/>
        </w:rPr>
      </w:pPr>
      <w:r>
        <w:rPr>
          <w:rFonts w:hint="eastAsia"/>
          <w:b/>
          <w:lang w:val="en-US"/>
        </w:rPr>
        <w:t>数学模型</w:t>
      </w:r>
    </w:p>
    <w:p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8E2A42" w:rsidRDefault="008E2A42" w:rsidP="008E2A42">
      <w:pPr>
        <w:pStyle w:val="a0"/>
        <w:ind w:firstLineChars="250" w:firstLine="525"/>
        <w:jc w:val="center"/>
        <w:rPr>
          <w:lang w:val="en-US"/>
        </w:rPr>
      </w:pPr>
      <w:r w:rsidRPr="00736903">
        <w:rPr>
          <w:noProof/>
          <w:lang w:val="en-US"/>
        </w:rPr>
        <w:drawing>
          <wp:inline distT="0" distB="0" distL="0" distR="0" wp14:anchorId="2E6272D4" wp14:editId="11DC05C9">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8E2A42" w:rsidRPr="00DF486E" w:rsidRDefault="008E2A42" w:rsidP="008E2A42">
      <w:pPr>
        <w:pStyle w:val="a0"/>
        <w:ind w:firstLineChars="0" w:firstLine="0"/>
        <w:jc w:val="center"/>
        <w:rPr>
          <w:rFonts w:ascii="黑体" w:eastAsia="黑体" w:hAnsi="黑体"/>
          <w:sz w:val="20"/>
          <w:szCs w:val="20"/>
        </w:rPr>
      </w:pPr>
      <w:bookmarkStart w:id="63"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95AEE">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95AEE">
        <w:rPr>
          <w:rFonts w:ascii="黑体" w:eastAsia="黑体" w:hAnsi="黑体"/>
          <w:noProof/>
          <w:sz w:val="20"/>
          <w:szCs w:val="20"/>
        </w:rPr>
        <w:t>1</w:t>
      </w:r>
      <w:r w:rsidRPr="006156D5">
        <w:rPr>
          <w:rFonts w:ascii="黑体" w:eastAsia="黑体" w:hAnsi="黑体"/>
          <w:sz w:val="20"/>
          <w:szCs w:val="20"/>
        </w:rPr>
        <w:fldChar w:fldCharType="end"/>
      </w:r>
      <w:bookmarkEnd w:id="63"/>
      <w:r w:rsidRPr="00DF486E">
        <w:rPr>
          <w:rFonts w:ascii="黑体" w:eastAsia="黑体" w:hAnsi="黑体" w:hint="eastAsia"/>
          <w:sz w:val="20"/>
          <w:szCs w:val="20"/>
        </w:rPr>
        <w:t xml:space="preserve"> </w:t>
      </w:r>
      <w:bookmarkStart w:id="64" w:name="_Ref225175618"/>
      <w:r w:rsidRPr="00DF486E">
        <w:rPr>
          <w:rFonts w:ascii="黑体" w:eastAsia="黑体" w:hAnsi="黑体" w:hint="eastAsia"/>
          <w:sz w:val="20"/>
          <w:szCs w:val="20"/>
        </w:rPr>
        <w:t>计算流体力学的控制方程</w:t>
      </w:r>
      <w:bookmarkEnd w:id="64"/>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40D6B088" wp14:editId="073F3A4F">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1FACA791" wp14:editId="3DA5285D">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jc w:val="both"/>
              <w:rPr>
                <w:rFonts w:cs="Calibri"/>
                <w:kern w:val="2"/>
                <w:szCs w:val="24"/>
              </w:rPr>
            </w:pPr>
            <w:r>
              <w:rPr>
                <w:szCs w:val="24"/>
              </w:rPr>
              <w:t>0</w:t>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40A4497" wp14:editId="18F60F4D">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32B5CA86" wp14:editId="03275073">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1645F01F" wp14:editId="14198C6A">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332C7D00" wp14:editId="4CC42F35">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D53E5AA" wp14:editId="369E6354">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75556CAC" wp14:editId="6936F68C">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C9D40A2" wp14:editId="37C576A5">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D657215" wp14:editId="27D656D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64CD3277" wp14:editId="2F15F552">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8710874" wp14:editId="235E36CA">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068A58B" wp14:editId="79A3AE3E">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17607E55" wp14:editId="6BDB3574">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39E9448" wp14:editId="05AB72CA">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D5F60B0" wp14:editId="6F0D0757">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61DF98C7" wp14:editId="59F4F404">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4"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lastRenderedPageBreak/>
              <w:t>温度</w:t>
            </w:r>
          </w:p>
        </w:tc>
        <w:tc>
          <w:tcPr>
            <w:tcW w:w="558"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2542229C" wp14:editId="75367663">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4568AB40" wp14:editId="5B7E96AE">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226788A6" wp14:editId="78F2104F">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8E2A42" w:rsidRPr="003368D4" w:rsidRDefault="008E2A42" w:rsidP="008E2A42">
      <w:pPr>
        <w:pStyle w:val="a0"/>
        <w:ind w:firstLineChars="250" w:firstLine="525"/>
        <w:rPr>
          <w:lang w:val="en-US"/>
        </w:rPr>
      </w:pPr>
      <w:r w:rsidRPr="003368D4">
        <w:rPr>
          <w:rFonts w:hint="eastAsia"/>
          <w:lang w:val="en-US"/>
        </w:rPr>
        <w:t>上表中的常数如下：</w:t>
      </w:r>
    </w:p>
    <w:p w:rsidR="008E2A42" w:rsidRPr="003368D4" w:rsidRDefault="008E2A42" w:rsidP="008E2A42">
      <w:pPr>
        <w:pStyle w:val="a0"/>
        <w:ind w:left="450" w:firstLineChars="35" w:firstLine="73"/>
        <w:rPr>
          <w:lang w:val="en-US"/>
        </w:rPr>
      </w:pPr>
      <w:r w:rsidRPr="00736903">
        <w:rPr>
          <w:noProof/>
          <w:lang w:val="en-US"/>
        </w:rPr>
        <w:drawing>
          <wp:inline distT="0" distB="0" distL="0" distR="0" wp14:anchorId="796895E4" wp14:editId="3C4B3AF3">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D213E24" wp14:editId="6F59B7F4">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FF2F36A" wp14:editId="06711961">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BE758FC" wp14:editId="354D7E9C">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8FEEFF3" wp14:editId="67482FD7">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76040F7" wp14:editId="22A93938">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104EBFD" wp14:editId="44DE3029">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AEA7A46" wp14:editId="3061A00E">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C45FDA6" wp14:editId="1420848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E87E902" wp14:editId="7F02C8A4">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8D83065" wp14:editId="08C54D1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142A2566" wp14:editId="2FE97194">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29B70519" wp14:editId="6D4B4AC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7C7F8A34" wp14:editId="43E5E0CE">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64EE18AC" wp14:editId="1D357686">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2710A5B5" wp14:editId="44B1DEFB">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8E2A42" w:rsidRPr="003368D4" w:rsidRDefault="008E2A42" w:rsidP="008E2A42">
      <w:pPr>
        <w:pStyle w:val="a0"/>
        <w:ind w:firstLineChars="250" w:firstLine="525"/>
        <w:rPr>
          <w:lang w:val="en-US"/>
        </w:rPr>
      </w:pPr>
      <w:r w:rsidRPr="00736903">
        <w:rPr>
          <w:noProof/>
          <w:lang w:val="en-US"/>
        </w:rPr>
        <w:drawing>
          <wp:inline distT="0" distB="0" distL="0" distR="0" wp14:anchorId="76C40EEF" wp14:editId="5A7DD92A">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2901014B" wp14:editId="269B5657">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04C1502" wp14:editId="71CEB98D">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2B14F89" wp14:editId="0744F13F">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8E2A42" w:rsidRDefault="008E2A42" w:rsidP="009C4AB3">
      <w:pPr>
        <w:pStyle w:val="a0"/>
        <w:numPr>
          <w:ilvl w:val="0"/>
          <w:numId w:val="5"/>
        </w:numPr>
        <w:ind w:firstLineChars="0"/>
        <w:rPr>
          <w:b/>
          <w:lang w:val="en-US"/>
        </w:rPr>
      </w:pPr>
      <w:r>
        <w:rPr>
          <w:rFonts w:hint="eastAsia"/>
          <w:b/>
          <w:lang w:val="en-US"/>
        </w:rPr>
        <w:t>差分格式</w:t>
      </w:r>
    </w:p>
    <w:p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rsidR="008E2A42" w:rsidRDefault="008E2A42" w:rsidP="008E2A42">
      <w:pPr>
        <w:pStyle w:val="1"/>
        <w:tabs>
          <w:tab w:val="left" w:pos="432"/>
        </w:tabs>
      </w:pPr>
      <w:bookmarkStart w:id="65" w:name="_Toc452108768"/>
      <w:bookmarkStart w:id="66" w:name="_Toc3745"/>
      <w:bookmarkStart w:id="67" w:name="_Toc50050022"/>
      <w:bookmarkStart w:id="68" w:name="_Toc58243677"/>
      <w:r>
        <w:rPr>
          <w:rFonts w:hint="eastAsia"/>
        </w:rPr>
        <w:lastRenderedPageBreak/>
        <w:t>结果</w:t>
      </w:r>
      <w:r>
        <w:t>分析</w:t>
      </w:r>
      <w:bookmarkEnd w:id="65"/>
      <w:bookmarkEnd w:id="66"/>
      <w:bookmarkEnd w:id="67"/>
      <w:bookmarkEnd w:id="68"/>
    </w:p>
    <w:p w:rsidR="008E2A42" w:rsidRPr="00E10A3D" w:rsidRDefault="008E2A42" w:rsidP="00DC62E7">
      <w:pPr>
        <w:pStyle w:val="2"/>
      </w:pPr>
      <w:bookmarkStart w:id="69" w:name="_Toc50050023"/>
      <w:bookmarkStart w:id="70" w:name="_Toc58243678"/>
      <w:r>
        <w:rPr>
          <w:rFonts w:hint="eastAsia"/>
        </w:rPr>
        <w:t>室内</w:t>
      </w:r>
      <w:r w:rsidR="00B56B4C">
        <w:rPr>
          <w:rFonts w:hint="eastAsia"/>
        </w:rPr>
        <w:t>速度</w:t>
      </w:r>
      <w:r>
        <w:rPr>
          <w:rFonts w:hint="eastAsia"/>
        </w:rPr>
        <w:t>场分布</w:t>
      </w:r>
      <w:bookmarkEnd w:id="69"/>
      <w:bookmarkEnd w:id="70"/>
    </w:p>
    <w:p w:rsidR="009E34BD" w:rsidRPr="00F676B0" w:rsidRDefault="009E34BD" w:rsidP="00AF3A30">
      <w:pPr>
        <w:pStyle w:val="a0"/>
        <w:ind w:firstLineChars="0" w:firstLine="0"/>
        <w:jc w:val="center"/>
        <w:rPr>
          <w:rFonts w:ascii="黑体" w:eastAsia="黑体" w:hAnsi="黑体"/>
          <w:noProof/>
          <w:lang w:val="en-US"/>
        </w:rPr>
      </w:pPr>
      <w:bookmarkStart w:id="71" w:name="速度云图"/>
      <w:r>
        <w:rPr>
          <w:noProof/>
          <w:lang w:val="en-US"/>
        </w:rPr>
        <w:drawing>
          <wp:inline distT="0" distB="0" distL="0" distR="0" wp14:anchorId="7AE7B362" wp14:editId="25D9AAF8">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p>
    <w:p w:rsidR="00813ECF" w:rsidRPr="00813ECF" w:rsidRDefault="00813ECF" w:rsidP="00813ECF">
      <w:pPr>
        <w:pStyle w:val="lj"/>
        <w:ind w:firstLine="420"/>
        <w:jc w:val="center"/>
        <w:rPr>
          <w:rFonts w:ascii="Times New Roman" w:hAnsi="Times New Roman"/>
          <w:color w:val="auto"/>
          <w:sz w:val="21"/>
          <w:szCs w:val="21"/>
        </w:rPr>
      </w:pPr>
      <w:bookmarkStart w:id="72" w:name="_Toc50050024"/>
      <w:bookmarkStart w:id="73" w:name="_Toc58243679"/>
      <w:bookmarkEnd w:id="71"/>
      <w:r w:rsidRPr="00813ECF">
        <w:rPr>
          <w:rFonts w:ascii="Times New Roman" w:hAnsi="Times New Roman"/>
          <w:color w:val="auto"/>
          <w:sz w:val="21"/>
          <w:szCs w:val="21"/>
        </w:rPr>
        <w:t>图</w:t>
      </w:r>
      <w:r w:rsidRPr="00813ECF">
        <w:rPr>
          <w:rFonts w:ascii="Times New Roman" w:hAnsi="Times New Roman"/>
          <w:color w:val="auto"/>
          <w:sz w:val="21"/>
          <w:szCs w:val="21"/>
        </w:rPr>
        <w:t xml:space="preserve">6-1 </w:t>
      </w:r>
      <w:r w:rsidRPr="00813ECF">
        <w:rPr>
          <w:rFonts w:ascii="Times New Roman" w:hAnsi="Times New Roman"/>
          <w:color w:val="auto"/>
          <w:sz w:val="21"/>
          <w:szCs w:val="21"/>
        </w:rPr>
        <w:t>室内速度分布</w:t>
      </w:r>
    </w:p>
    <w:p w:rsidR="008E2A42" w:rsidRDefault="00B56B4C" w:rsidP="00DC62E7">
      <w:pPr>
        <w:pStyle w:val="2"/>
      </w:pPr>
      <w:r>
        <w:rPr>
          <w:rFonts w:hint="eastAsia"/>
        </w:rPr>
        <w:lastRenderedPageBreak/>
        <w:t>室内风速矢量图</w:t>
      </w:r>
      <w:bookmarkEnd w:id="72"/>
      <w:bookmarkEnd w:id="73"/>
    </w:p>
    <w:p w:rsidR="00F676B0" w:rsidRPr="00F676B0" w:rsidRDefault="00F676B0" w:rsidP="00AF3A30">
      <w:pPr>
        <w:pStyle w:val="a0"/>
        <w:ind w:firstLineChars="0" w:firstLine="0"/>
        <w:jc w:val="center"/>
        <w:rPr>
          <w:lang w:val="en-US"/>
        </w:rPr>
      </w:pPr>
      <w:bookmarkStart w:id="74" w:name="速度矢量图"/>
      <w:r>
        <w:rPr>
          <w:noProof/>
          <w:lang w:val="en-US"/>
        </w:rPr>
        <w:drawing>
          <wp:inline distT="0" distB="0" distL="0" distR="0" wp14:anchorId="2A80A305" wp14:editId="23FAAFC4">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52850"/>
                    </a:xfrm>
                    <a:prstGeom prst="rect">
                      <a:avLst/>
                    </a:prstGeom>
                  </pic:spPr>
                </pic:pic>
              </a:graphicData>
            </a:graphic>
          </wp:inline>
        </w:drawing>
      </w:r>
    </w:p>
    <w:p w:rsidR="00813ECF" w:rsidRPr="00813ECF" w:rsidRDefault="00813ECF" w:rsidP="00813ECF">
      <w:pPr>
        <w:pStyle w:val="lj"/>
        <w:ind w:firstLine="420"/>
        <w:jc w:val="center"/>
        <w:rPr>
          <w:rFonts w:ascii="Times New Roman" w:hAnsi="Times New Roman"/>
          <w:color w:val="auto"/>
          <w:sz w:val="21"/>
          <w:szCs w:val="21"/>
        </w:rPr>
      </w:pPr>
      <w:bookmarkStart w:id="75" w:name="_Toc50050025"/>
      <w:bookmarkStart w:id="76" w:name="_Toc58243680"/>
      <w:bookmarkEnd w:id="74"/>
      <w:r w:rsidRPr="00813ECF">
        <w:rPr>
          <w:rFonts w:ascii="Times New Roman" w:hAnsi="Times New Roman"/>
          <w:color w:val="auto"/>
          <w:sz w:val="21"/>
          <w:szCs w:val="21"/>
        </w:rPr>
        <w:t>图</w:t>
      </w:r>
      <w:r w:rsidRPr="00813ECF">
        <w:rPr>
          <w:rFonts w:ascii="Times New Roman" w:hAnsi="Times New Roman"/>
          <w:color w:val="auto"/>
          <w:sz w:val="21"/>
          <w:szCs w:val="21"/>
        </w:rPr>
        <w:t xml:space="preserve">6-2 </w:t>
      </w:r>
      <w:r w:rsidRPr="00813ECF">
        <w:rPr>
          <w:rFonts w:ascii="Times New Roman" w:hAnsi="Times New Roman"/>
          <w:color w:val="auto"/>
          <w:sz w:val="21"/>
          <w:szCs w:val="21"/>
        </w:rPr>
        <w:t>室内风速矢量图</w:t>
      </w:r>
    </w:p>
    <w:p w:rsidR="00322951" w:rsidRDefault="00322951" w:rsidP="00322951">
      <w:pPr>
        <w:pStyle w:val="2"/>
      </w:pPr>
      <w:r>
        <w:rPr>
          <w:rFonts w:hint="eastAsia"/>
        </w:rPr>
        <w:t>流线图</w:t>
      </w:r>
    </w:p>
    <w:p w:rsidR="00322951" w:rsidRDefault="00322951" w:rsidP="00322951">
      <w:pPr>
        <w:pStyle w:val="a0"/>
        <w:ind w:firstLine="420"/>
        <w:jc w:val="center"/>
        <w:rPr>
          <w:lang w:val="en-US"/>
        </w:rPr>
      </w:pPr>
      <w:bookmarkStart w:id="77" w:name="流线图"/>
      <w:bookmarkEnd w:id="77"/>
      <w:r>
        <w:rPr>
          <w:noProof/>
          <w:lang w:val="en-US"/>
        </w:rPr>
        <w:drawing>
          <wp:inline distT="0" distB="0" distL="0" distR="0" wp14:anchorId="6335A77A" wp14:editId="1C66D2C8">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p>
    <w:p w:rsidR="00813ECF" w:rsidRPr="00322951" w:rsidRDefault="00813ECF" w:rsidP="00322951">
      <w:pPr>
        <w:pStyle w:val="a0"/>
        <w:ind w:firstLine="420"/>
        <w:jc w:val="center"/>
        <w:rPr>
          <w:lang w:val="en-US"/>
        </w:rPr>
      </w:pPr>
      <w:r w:rsidRPr="00813ECF">
        <w:rPr>
          <w:lang w:val="en-US"/>
        </w:rPr>
        <w:t>图</w:t>
      </w:r>
      <w:r w:rsidRPr="00813ECF">
        <w:rPr>
          <w:lang w:val="en-US"/>
        </w:rPr>
        <w:t xml:space="preserve">6-3 </w:t>
      </w:r>
      <w:r w:rsidRPr="00813ECF">
        <w:rPr>
          <w:lang w:val="en-US"/>
        </w:rPr>
        <w:t>室内流线图</w:t>
      </w:r>
    </w:p>
    <w:p w:rsidR="008E2A42" w:rsidRPr="00612E00" w:rsidRDefault="00A968A5" w:rsidP="00A968A5">
      <w:pPr>
        <w:pStyle w:val="1"/>
        <w:tabs>
          <w:tab w:val="left" w:pos="432"/>
        </w:tabs>
        <w:rPr>
          <w:sz w:val="36"/>
          <w:szCs w:val="36"/>
        </w:rPr>
      </w:pPr>
      <w:r w:rsidRPr="00612E00">
        <w:rPr>
          <w:rFonts w:hint="eastAsia"/>
          <w:sz w:val="36"/>
          <w:szCs w:val="36"/>
        </w:rPr>
        <w:lastRenderedPageBreak/>
        <w:t>结论</w:t>
      </w:r>
      <w:bookmarkEnd w:id="75"/>
      <w:bookmarkEnd w:id="76"/>
    </w:p>
    <w:p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40"/>
    <w:bookmarkEnd w:id="51"/>
    <w:bookmarkEnd w:id="52"/>
    <w:p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A3F" w:rsidRDefault="009D2A3F" w:rsidP="00203A7D">
      <w:pPr>
        <w:spacing w:line="240" w:lineRule="auto"/>
      </w:pPr>
      <w:r>
        <w:separator/>
      </w:r>
    </w:p>
  </w:endnote>
  <w:endnote w:type="continuationSeparator" w:id="0">
    <w:p w:rsidR="009D2A3F" w:rsidRDefault="009D2A3F"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A12A0" w:rsidRPr="00F5023B" w:rsidTr="001A12A0">
      <w:tc>
        <w:tcPr>
          <w:tcW w:w="3020" w:type="dxa"/>
        </w:tcPr>
        <w:p w:rsidR="001A12A0" w:rsidRPr="00F5023B" w:rsidRDefault="009D2A3F"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rsidR="001A12A0" w:rsidRPr="00F5023B" w:rsidRDefault="009D2A3F"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E95AEE">
                <w:rPr>
                  <w:rFonts w:asciiTheme="minorEastAsia" w:eastAsiaTheme="minorEastAsia" w:hAnsiTheme="minorEastAsia"/>
                  <w:bCs/>
                  <w:noProof/>
                  <w:sz w:val="20"/>
                  <w:szCs w:val="21"/>
                </w:rPr>
                <w:t>13</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E95AEE">
                <w:rPr>
                  <w:rFonts w:asciiTheme="minorEastAsia" w:eastAsiaTheme="minorEastAsia" w:hAnsiTheme="minorEastAsia"/>
                  <w:bCs/>
                  <w:noProof/>
                  <w:sz w:val="20"/>
                  <w:szCs w:val="21"/>
                </w:rPr>
                <w:t>13</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rsidR="001A12A0" w:rsidRPr="00F5023B" w:rsidRDefault="001A12A0" w:rsidP="00942133">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2133">
            <w:rPr>
              <w:rFonts w:asciiTheme="minorEastAsia" w:eastAsiaTheme="minorEastAsia" w:hAnsiTheme="minorEastAsia"/>
              <w:sz w:val="20"/>
              <w:szCs w:val="21"/>
            </w:rPr>
            <w:t>4</w:t>
          </w:r>
        </w:p>
      </w:tc>
    </w:tr>
  </w:tbl>
  <w:p w:rsidR="001A12A0" w:rsidRDefault="001A12A0">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2A0" w:rsidRPr="001D3BB9" w:rsidRDefault="001A12A0">
    <w:pPr>
      <w:pStyle w:val="a6"/>
      <w:jc w:val="center"/>
      <w:rPr>
        <w:rFonts w:asciiTheme="minorEastAsia" w:eastAsiaTheme="minorEastAsia" w:hAnsiTheme="minorEastAsia"/>
        <w:szCs w:val="21"/>
      </w:rPr>
    </w:pPr>
  </w:p>
  <w:p w:rsidR="001A12A0" w:rsidRDefault="001A12A0">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A3F" w:rsidRDefault="009D2A3F" w:rsidP="00203A7D">
      <w:pPr>
        <w:spacing w:line="240" w:lineRule="auto"/>
      </w:pPr>
      <w:r>
        <w:separator/>
      </w:r>
    </w:p>
  </w:footnote>
  <w:footnote w:type="continuationSeparator" w:id="0">
    <w:p w:rsidR="009D2A3F" w:rsidRDefault="009D2A3F"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2A0" w:rsidRPr="001D3BB9" w:rsidRDefault="001A12A0" w:rsidP="001737F9">
    <w:pPr>
      <w:pStyle w:val="a4"/>
      <w:pBdr>
        <w:bottom w:val="single" w:sz="6" w:space="0" w:color="auto"/>
      </w:pBdr>
      <w:jc w:val="left"/>
    </w:pPr>
    <w:r>
      <w:rPr>
        <w:noProof/>
        <w:lang w:val="en-US"/>
      </w:rPr>
      <w:drawing>
        <wp:inline distT="0" distB="0" distL="0" distR="0" wp14:anchorId="429C6AC8" wp14:editId="05B95985">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61"/>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AEE"/>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D2A3F"/>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AF6B87"/>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95AEE"/>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A3BE524-533C-49DA-B6FD-4E68F1486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wmf"/><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490\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03130-D999-43CA-AEA6-853409CC7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tmp5.dotx</Template>
  <TotalTime>1</TotalTime>
  <Pages>13</Pages>
  <Words>500</Words>
  <Characters>2855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3349</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15490</dc:creator>
  <cp:lastModifiedBy>15490</cp:lastModifiedBy>
  <cp:revision>1</cp:revision>
  <cp:lastPrinted>1900-12-31T16:00:00Z</cp:lastPrinted>
  <dcterms:created xsi:type="dcterms:W3CDTF">2025-02-08T06:41:00Z</dcterms:created>
  <dcterms:modified xsi:type="dcterms:W3CDTF">2025-02-08T06:42:00Z</dcterms:modified>
</cp:coreProperties>
</file>