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归绿·童园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85739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57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报告日期：2025年2月9日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项目名称：归绿·童园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依据标准：《绿色建筑评价标准》GB/T 50378-2024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明确全寿命期单位建筑面积碳排放强度，并明确降低碳排放强度的技术措施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red"/>
                <w:sz w:val="20"/>
                <w:szCs w:val="20"/>
              </w:rPr>
              <w:t>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强制性规范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因地制宜建设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电力交互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保险产品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