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绿庭晚叙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报告日期：2025年2月16日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项目名称：绿庭晚叙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50378-2024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围护结构提高5%或负荷降低5%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住宅建筑外窗传热系数降低比例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明确全寿命期单位建筑面积碳排放强度，并明确降低碳排放强度的技术措施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25.0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425.0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因地制宜建设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电力交互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保险产品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