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D75AC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031606B0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0E10ABCD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6A0548A4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08EEA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53F1CE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44FBA5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图书馆</w:t>
            </w:r>
            <w:bookmarkEnd w:id="0"/>
          </w:p>
        </w:tc>
      </w:tr>
      <w:tr w14:paraId="04EA2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51422D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879B23F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重庆</w:t>
            </w:r>
            <w:bookmarkEnd w:id="1"/>
          </w:p>
        </w:tc>
      </w:tr>
      <w:tr w14:paraId="21E71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CADB1A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98A0331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772F8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A5F2B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06062D9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4BF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DA0246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CF7AE3E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5F905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B32D4A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597E206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B76A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E58B3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6006066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3E23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05E666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51FF7B2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03B6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A1519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097AC03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9BAE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3BB4D3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215640F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2025年02月15日</w:t>
            </w:r>
            <w:bookmarkEnd w:id="5"/>
          </w:p>
        </w:tc>
      </w:tr>
    </w:tbl>
    <w:p w14:paraId="02DED686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09665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8233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4CD057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4993D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4D9A8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6A690446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691080C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63263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CA2E08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C93AFA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68DDA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C25C6A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296BBA9">
            <w:pPr>
              <w:rPr>
                <w:szCs w:val="18"/>
              </w:rPr>
            </w:pPr>
            <w:bookmarkStart w:id="9" w:name="加密锁号"/>
            <w:r>
              <w:t>T13337596500</w:t>
            </w:r>
            <w:bookmarkEnd w:id="9"/>
          </w:p>
        </w:tc>
      </w:tr>
    </w:tbl>
    <w:p w14:paraId="5595D2C0">
      <w:pPr>
        <w:jc w:val="center"/>
        <w:rPr>
          <w:rFonts w:ascii="Times New Roman" w:hAnsi="Times New Roman" w:cs="Times New Roman"/>
          <w:b/>
          <w:sz w:val="56"/>
        </w:rPr>
      </w:pPr>
    </w:p>
    <w:p w14:paraId="55B82776">
      <w:pPr>
        <w:jc w:val="center"/>
        <w:rPr>
          <w:rFonts w:ascii="Times New Roman" w:hAnsi="Times New Roman" w:cs="Times New Roman"/>
          <w:b/>
          <w:sz w:val="56"/>
        </w:rPr>
      </w:pPr>
    </w:p>
    <w:p w14:paraId="1F9BE29D">
      <w:pPr>
        <w:tabs>
          <w:tab w:val="left" w:pos="1052"/>
        </w:tabs>
        <w:rPr>
          <w:rFonts w:ascii="Times New Roman" w:hAnsi="Times New Roman" w:cs="Times New Roman"/>
        </w:rPr>
      </w:pPr>
    </w:p>
    <w:p w14:paraId="1BA02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09D8BF">
      <w:pPr>
        <w:rPr>
          <w:rFonts w:ascii="Times New Roman" w:hAnsi="Times New Roman" w:cs="Times New Roman"/>
        </w:rPr>
      </w:pPr>
    </w:p>
    <w:p w14:paraId="35DD1EBB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37D2968B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_Toc25071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_Toc25071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7C900FE6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_Toc5010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_Toc5010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7797C19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_Toc12920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_Toc12920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0A3A10C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_Toc15241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_Toc15241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58B2B30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_Toc11130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_Toc11130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34E0AD9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_Toc17646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_Toc17646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8F34B38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_Toc23722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_Toc23722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ABA8144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_Toc18776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_Toc18776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945138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_Toc1820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_Toc1820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6912B09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_Toc9240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_Toc9240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87940BE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_Toc25911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_Toc25911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738C4AB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_Toc18645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_Toc18645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EC28472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_Toc7035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_Toc7035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640D3B7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_Toc5042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_Toc5042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061DFF8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_Toc24708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_Toc24708 \h </w:instrText>
      </w:r>
      <w:r>
        <w:fldChar w:fldCharType="separate"/>
      </w:r>
      <w:r>
        <w:t>16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625955A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69566D45">
      <w:pPr>
        <w:rPr>
          <w:rFonts w:ascii="Times New Roman" w:hAnsi="Times New Roman" w:cs="Times New Roman"/>
          <w:sz w:val="32"/>
        </w:rPr>
      </w:pPr>
    </w:p>
    <w:p w14:paraId="0F4198EF">
      <w:pPr>
        <w:rPr>
          <w:rFonts w:ascii="Times New Roman" w:hAnsi="Times New Roman" w:cs="Times New Roman"/>
          <w:sz w:val="32"/>
        </w:rPr>
      </w:pPr>
    </w:p>
    <w:p w14:paraId="4F8CE44C">
      <w:pPr>
        <w:rPr>
          <w:rFonts w:ascii="Times New Roman" w:hAnsi="Times New Roman" w:cs="Times New Roman"/>
          <w:sz w:val="32"/>
        </w:rPr>
      </w:pPr>
    </w:p>
    <w:p w14:paraId="29449C12">
      <w:pPr>
        <w:rPr>
          <w:rFonts w:ascii="Times New Roman" w:hAnsi="Times New Roman" w:cs="Times New Roman"/>
          <w:sz w:val="32"/>
        </w:rPr>
      </w:pPr>
    </w:p>
    <w:p w14:paraId="3EEE76FB">
      <w:pPr>
        <w:jc w:val="center"/>
        <w:rPr>
          <w:rFonts w:ascii="Times New Roman" w:hAnsi="Times New Roman" w:cs="Times New Roman"/>
          <w:sz w:val="32"/>
        </w:rPr>
      </w:pPr>
    </w:p>
    <w:p w14:paraId="5DC5A391">
      <w:pPr>
        <w:rPr>
          <w:rFonts w:ascii="Times New Roman" w:hAnsi="Times New Roman" w:cs="Times New Roman"/>
          <w:sz w:val="32"/>
        </w:rPr>
      </w:pPr>
    </w:p>
    <w:p w14:paraId="7BDE640E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212FEBC7">
      <w:pPr>
        <w:spacing w:before="156"/>
        <w:rPr>
          <w:rFonts w:ascii="Times New Roman" w:hAnsi="Times New Roman" w:cs="Times New Roman"/>
        </w:rPr>
      </w:pPr>
    </w:p>
    <w:p w14:paraId="7CCADA13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25071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6326CF81">
      <w:pPr>
        <w:pStyle w:val="3"/>
        <w:rPr>
          <w:rFonts w:ascii="Times New Roman" w:hAnsi="Times New Roman"/>
          <w:sz w:val="24"/>
          <w:szCs w:val="24"/>
        </w:rPr>
      </w:pPr>
      <w:bookmarkStart w:id="12" w:name="_Toc5010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631F0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7375A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3A0EDD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E108E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F1A41D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重庆</w:t>
            </w:r>
            <w:bookmarkEnd w:id="13"/>
          </w:p>
        </w:tc>
      </w:tr>
      <w:tr w14:paraId="7E083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63DE52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8838550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11434.00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38B3B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103D2B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22.800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02B89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409C7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C83A23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43E936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51E46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64E4B467">
      <w:pPr>
        <w:rPr>
          <w:rFonts w:ascii="Times New Roman" w:hAnsi="Times New Roman" w:cs="Times New Roman"/>
          <w:lang w:val="zh-CN" w:eastAsia="zh-CN"/>
        </w:rPr>
      </w:pPr>
    </w:p>
    <w:p w14:paraId="168F204D">
      <w:pPr>
        <w:pStyle w:val="3"/>
        <w:rPr>
          <w:rFonts w:ascii="Times New Roman" w:hAnsi="Times New Roman"/>
          <w:sz w:val="24"/>
          <w:szCs w:val="24"/>
        </w:rPr>
      </w:pPr>
      <w:bookmarkStart w:id="16" w:name="_Toc12920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164631E0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2EA92542">
      <w:pPr>
        <w:jc w:val="center"/>
        <w:rPr>
          <w:rFonts w:ascii="Times New Roman" w:hAnsi="Times New Roman" w:cs="Times New Roman"/>
          <w:lang w:val="zh-CN" w:eastAsia="zh-CN"/>
        </w:rPr>
      </w:pPr>
    </w:p>
    <w:p w14:paraId="627E283C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58674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33EF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3F52D400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7245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4F10F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1D817263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7816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0F701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 w14:paraId="5DD2C449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8102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260E3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 w14:paraId="3780CCDD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8769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0943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5层平面</w:t>
      </w:r>
    </w:p>
    <w:p w14:paraId="7AFDD404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3F206566">
      <w:pPr>
        <w:jc w:val="center"/>
        <w:rPr>
          <w:rFonts w:ascii="Times New Roman" w:hAnsi="Times New Roman" w:cs="Times New Roman"/>
          <w:lang w:val="zh-CN" w:eastAsia="zh-CN"/>
        </w:rPr>
      </w:pPr>
    </w:p>
    <w:p w14:paraId="4498AB92">
      <w:pPr>
        <w:pStyle w:val="3"/>
        <w:rPr>
          <w:rFonts w:ascii="Times New Roman" w:hAnsi="Times New Roman"/>
          <w:sz w:val="24"/>
          <w:szCs w:val="24"/>
        </w:rPr>
      </w:pPr>
      <w:bookmarkStart w:id="18" w:name="_Toc15241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150DC8B2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 w14:paraId="2546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2256317D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bookmarkEnd w:id="19"/>
            <w:r>
              <w:drawing>
                <wp:inline distT="0" distB="0" distL="0" distR="0">
                  <wp:extent cx="5133975" cy="41910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514" cy="41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D77DC">
      <w:pPr>
        <w:jc w:val="center"/>
        <w:rPr>
          <w:rFonts w:ascii="Times New Roman" w:hAnsi="Times New Roman" w:cs="Times New Roman"/>
          <w:lang w:val="zh-CN" w:eastAsia="zh-CN"/>
        </w:rPr>
      </w:pPr>
    </w:p>
    <w:p w14:paraId="27E8DCB7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1130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50AFD092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548FF605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39955180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56BCA9DF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3EB686B6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0F9E621F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70A68445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2D3DA715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7646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0D9430AB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647B7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9BBF3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3C442A5E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367C8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087B888E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5005E33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7251D38A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7DCAA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2D1EA65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54CD135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2D40DAF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3C9E8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8F22274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1D2B771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7B93AD2C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13476FBC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786D9FB5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4694C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4E3A2F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1B494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578015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1BFD30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24499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5A882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49876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1215889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54E3A45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4242EB5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12F919A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45D45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2B69CD7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575A7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7D7F8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61ACC21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648D689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73B763B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681E0F6F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25EDA2FE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1B311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5612D9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3C8C4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4DB604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5F15CF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632F9D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643618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78482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36F7260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1C6CDB6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504D6C2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1FE908E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78C39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4E79CD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45C99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03B73FA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8D6D6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95833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9EFEF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6D113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346D039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4061082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6C0CCA3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CE09CD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37ED795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39DD230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6ED50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6796767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6C3C94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7AA063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1F489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19467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054E8D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20FE6F0">
      <w:pPr>
        <w:spacing w:before="120"/>
        <w:rPr>
          <w:rFonts w:ascii="Times New Roman" w:hAnsi="Times New Roman" w:cs="Times New Roman"/>
          <w:lang w:val="zh-CN"/>
        </w:rPr>
      </w:pPr>
    </w:p>
    <w:p w14:paraId="05FA5328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23722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529C3722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369A2395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120240AF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BF904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622CB0E2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0A51DA33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675D9599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72FDB4C8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52D6E5C6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6D5A805C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17FB8C24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6E93E8EB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5748C551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8776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01B04374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56673DA7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820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11E0BB3E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34C61076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0086723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9BA14A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9240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1A9B7709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54BE9F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9400C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E20A1A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3079A19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6D9B4E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7ECED47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56D7A17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535E9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670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7CC15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F049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69EB4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6D119E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805D0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7A99D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210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33BE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220D4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A9C87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68D638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0F46CF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753050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DE9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4379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A532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721C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0.0081</w:t>
            </w:r>
          </w:p>
        </w:tc>
        <w:tc>
          <w:tcPr>
            <w:vAlign w:val="center"/>
          </w:tcPr>
          <w:p w14:paraId="3FFA3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0.0015</w:t>
            </w:r>
          </w:p>
        </w:tc>
        <w:tc>
          <w:tcPr>
            <w:vAlign w:val="center"/>
          </w:tcPr>
          <w:p w14:paraId="616FB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0.0233</w:t>
            </w:r>
          </w:p>
        </w:tc>
      </w:tr>
      <w:tr w14:paraId="147CC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791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4500A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38A7B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3DE7A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69877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21FA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601E1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4D4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8705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028FF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C5FA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156D9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029EAB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 w14:paraId="3AA82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DAC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E6E4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5B5C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7495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4A29AD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092AB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587B14C0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215D5D18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654C7D1D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62D85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163E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241F0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D8B7C4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07A69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5DC1E0A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1A5FE5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73D27C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621F7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27CF6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CF21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Merge w:val="restart"/>
            <w:vAlign w:val="center"/>
          </w:tcPr>
          <w:p w14:paraId="0FDCD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综合期刊</w:t>
            </w:r>
          </w:p>
        </w:tc>
        <w:tc>
          <w:tcPr>
            <w:vMerge w:val="restart"/>
            <w:vAlign w:val="center"/>
          </w:tcPr>
          <w:p w14:paraId="18B17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260E4B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D20CF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DE7D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119.6</w:t>
            </w:r>
          </w:p>
        </w:tc>
      </w:tr>
      <w:tr w14:paraId="3319D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F4AB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16BB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8D36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EB08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B63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E2AF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3BC7D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76.1</w:t>
            </w:r>
          </w:p>
        </w:tc>
      </w:tr>
      <w:tr w14:paraId="6B88D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313F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A729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5951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A1B6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A76AB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3019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709B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43.5</w:t>
            </w:r>
          </w:p>
        </w:tc>
      </w:tr>
      <w:tr w14:paraId="3528C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D8CC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5ED5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Merge w:val="restart"/>
            <w:vAlign w:val="center"/>
          </w:tcPr>
          <w:p w14:paraId="5D251D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05E42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1C8CE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E054F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8D7D5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246.4</w:t>
            </w:r>
          </w:p>
        </w:tc>
      </w:tr>
      <w:tr w14:paraId="59D02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B9F3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8363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268B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953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E14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7671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22747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156.8</w:t>
            </w:r>
          </w:p>
        </w:tc>
      </w:tr>
      <w:tr w14:paraId="47DB8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0CC7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CF4A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4BB9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96AC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1B7D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1A4F3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D877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89.6</w:t>
            </w:r>
          </w:p>
        </w:tc>
      </w:tr>
      <w:tr w14:paraId="5F2BB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65D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17BF9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Merge w:val="restart"/>
            <w:vAlign w:val="center"/>
          </w:tcPr>
          <w:p w14:paraId="2EBC58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读者服务部</w:t>
            </w:r>
          </w:p>
        </w:tc>
        <w:tc>
          <w:tcPr>
            <w:vMerge w:val="restart"/>
            <w:vAlign w:val="center"/>
          </w:tcPr>
          <w:p w14:paraId="132543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7DB666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801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6D0B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30.5</w:t>
            </w:r>
          </w:p>
        </w:tc>
      </w:tr>
      <w:tr w14:paraId="58BFC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4B7E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3146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F7E2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0A53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6CA9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C6D6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68B91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19.4</w:t>
            </w:r>
          </w:p>
        </w:tc>
      </w:tr>
      <w:tr w14:paraId="62D91A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B43A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C2E5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A83F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F1AC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651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8D77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1B85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</w:t>
            </w:r>
          </w:p>
        </w:tc>
      </w:tr>
      <w:tr w14:paraId="4B01E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B5D9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4B62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Merge w:val="restart"/>
            <w:vAlign w:val="center"/>
          </w:tcPr>
          <w:p w14:paraId="0C0CE1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外文编目</w:t>
            </w:r>
          </w:p>
        </w:tc>
        <w:tc>
          <w:tcPr>
            <w:vMerge w:val="restart"/>
            <w:vAlign w:val="center"/>
          </w:tcPr>
          <w:p w14:paraId="047D0F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B89D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E23A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28DB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</w:p>
        </w:tc>
      </w:tr>
      <w:tr w14:paraId="582B1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BCE6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D947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726E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D07A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40F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2F99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7AFE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19.9</w:t>
            </w:r>
          </w:p>
        </w:tc>
      </w:tr>
      <w:tr w14:paraId="52E28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F1A6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A8C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DF19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7DE6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AFDBE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C833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9C240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 w14:paraId="7B5E1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6A8A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21DA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Merge w:val="restart"/>
            <w:vAlign w:val="center"/>
          </w:tcPr>
          <w:p w14:paraId="00281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监控室</w:t>
            </w:r>
          </w:p>
        </w:tc>
        <w:tc>
          <w:tcPr>
            <w:vMerge w:val="restart"/>
            <w:vAlign w:val="center"/>
          </w:tcPr>
          <w:p w14:paraId="2A1D81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76497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88D4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3929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47.1</w:t>
            </w:r>
          </w:p>
        </w:tc>
      </w:tr>
      <w:tr w14:paraId="0F4E2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1525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DE35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D377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D878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1E1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376C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D52A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</w:t>
            </w:r>
          </w:p>
        </w:tc>
      </w:tr>
      <w:tr w14:paraId="7FEEC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6BFE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5610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23FD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5521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4928F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BE2E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8DF42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</w:t>
            </w:r>
          </w:p>
        </w:tc>
      </w:tr>
      <w:tr w14:paraId="3B29D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4F2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860D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Merge w:val="restart"/>
            <w:vAlign w:val="center"/>
          </w:tcPr>
          <w:p w14:paraId="03D15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装订室</w:t>
            </w:r>
          </w:p>
        </w:tc>
        <w:tc>
          <w:tcPr>
            <w:vMerge w:val="restart"/>
            <w:vAlign w:val="center"/>
          </w:tcPr>
          <w:p w14:paraId="6B3811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00973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E196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CA4B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</w:t>
            </w:r>
          </w:p>
        </w:tc>
      </w:tr>
      <w:tr w14:paraId="78A6D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2103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70A4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A27F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231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52DA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15F7B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3993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</w:t>
            </w:r>
          </w:p>
        </w:tc>
      </w:tr>
      <w:tr w14:paraId="3DA18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4F6E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127B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9C53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1D9E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7D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C989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0D0C1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</w:p>
        </w:tc>
      </w:tr>
      <w:tr w14:paraId="5CD9A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267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A3DAD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Merge w:val="restart"/>
            <w:vAlign w:val="center"/>
          </w:tcPr>
          <w:p w14:paraId="335E8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中文编目</w:t>
            </w:r>
          </w:p>
        </w:tc>
        <w:tc>
          <w:tcPr>
            <w:vMerge w:val="restart"/>
            <w:vAlign w:val="center"/>
          </w:tcPr>
          <w:p w14:paraId="661DCE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3F967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2D532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53A94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</w:p>
        </w:tc>
      </w:tr>
      <w:tr w14:paraId="73EAD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E53A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BA9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A80B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5F4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A7D9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98F3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6DFA6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19.9</w:t>
            </w:r>
          </w:p>
        </w:tc>
      </w:tr>
      <w:tr w14:paraId="6BD57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1FCB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D74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CAA1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76A0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7325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7C9DA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896DD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 w14:paraId="183AF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8C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4116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Merge w:val="restart"/>
            <w:vAlign w:val="center"/>
          </w:tcPr>
          <w:p w14:paraId="4BCDF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储藏室</w:t>
            </w:r>
          </w:p>
        </w:tc>
        <w:tc>
          <w:tcPr>
            <w:vMerge w:val="restart"/>
            <w:vAlign w:val="center"/>
          </w:tcPr>
          <w:p w14:paraId="21A9D6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527B4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DFEC9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38E28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</w:t>
            </w:r>
          </w:p>
        </w:tc>
      </w:tr>
      <w:tr w14:paraId="079C5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2AC5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AFF9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9B64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BAE2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B0DD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C823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4510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</w:t>
            </w:r>
          </w:p>
        </w:tc>
      </w:tr>
      <w:tr w14:paraId="64280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7C53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17B7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154F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423C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3395D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0FE7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76F6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</w:p>
        </w:tc>
      </w:tr>
      <w:tr w14:paraId="50B2E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31A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E7A7D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Merge w:val="restart"/>
            <w:vAlign w:val="center"/>
          </w:tcPr>
          <w:p w14:paraId="75420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采购间</w:t>
            </w:r>
          </w:p>
        </w:tc>
        <w:tc>
          <w:tcPr>
            <w:vMerge w:val="restart"/>
            <w:vAlign w:val="center"/>
          </w:tcPr>
          <w:p w14:paraId="33EE4E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77D8FE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4F5B7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EED2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</w:t>
            </w:r>
          </w:p>
        </w:tc>
      </w:tr>
      <w:tr w14:paraId="1D806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FD57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C8D3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F7D4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51A8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6D20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216D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7322E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6C970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9071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C9AD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8134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C517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A75D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8291B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FA602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</w:tbl>
    <w:p w14:paraId="1EBF0F26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0FA638C4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25911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04BFF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196CE2FE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275F1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5F5418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0977A5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097D0D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77F5D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7045B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334CA908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7640A13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4BFA66A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0B76C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47B6659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DA719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E2CB7B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3D3DB75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07490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213B445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12D0DC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D54D3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A25EB7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02C789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6AFA8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4C61A1B8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909698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42E823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AA6397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9B4E7C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064889B9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105A593A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46252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CF087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4AAE1F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64D78B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0840A9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6CE5EA7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25BEEB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610A8C2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169644F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148EA4D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02E57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8C91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4145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2808F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综合期刊</w:t>
            </w:r>
          </w:p>
        </w:tc>
        <w:tc>
          <w:tcPr>
            <w:vAlign w:val="center"/>
          </w:tcPr>
          <w:p w14:paraId="6BCB4B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238C7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443C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3382839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FD5249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494E6A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FC90D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6CB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893C2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478E1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393EF5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5C9C78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87FFC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533DBBC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493F22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4F0D11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759C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44AB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C2B03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77FB8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读者服务部</w:t>
            </w:r>
          </w:p>
        </w:tc>
        <w:tc>
          <w:tcPr>
            <w:vAlign w:val="center"/>
          </w:tcPr>
          <w:p w14:paraId="7A6DC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58F2A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F098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706B28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CAC2E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CB1E0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43D4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BD0B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49EC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1D165D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外文编目</w:t>
            </w:r>
          </w:p>
        </w:tc>
        <w:tc>
          <w:tcPr>
            <w:vAlign w:val="center"/>
          </w:tcPr>
          <w:p w14:paraId="083931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68A31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6424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0C7853A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EC9F07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914766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A558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2AE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548FA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271AA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监控室</w:t>
            </w:r>
          </w:p>
        </w:tc>
        <w:tc>
          <w:tcPr>
            <w:vAlign w:val="center"/>
          </w:tcPr>
          <w:p w14:paraId="7A2FF4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5FE07E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36A5B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57DB4C3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9A0F79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6F87F3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0BEE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8515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86086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58539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装订室</w:t>
            </w:r>
          </w:p>
        </w:tc>
        <w:tc>
          <w:tcPr>
            <w:vAlign w:val="center"/>
          </w:tcPr>
          <w:p w14:paraId="57D851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21A565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5164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7F0917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A3AD1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3F77A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D884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3A3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1306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6DED58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中文编目</w:t>
            </w:r>
          </w:p>
        </w:tc>
        <w:tc>
          <w:tcPr>
            <w:vAlign w:val="center"/>
          </w:tcPr>
          <w:p w14:paraId="19F406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418E9C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97C3D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01A4565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C44DF0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7CF645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2635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346A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DCD2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46498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储藏室</w:t>
            </w:r>
          </w:p>
        </w:tc>
        <w:tc>
          <w:tcPr>
            <w:vAlign w:val="center"/>
          </w:tcPr>
          <w:p w14:paraId="67F0A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0454C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6226A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2A9371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4F1B39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FD81FE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505A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4F9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FC398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5CD9EA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采购间</w:t>
            </w:r>
          </w:p>
        </w:tc>
        <w:tc>
          <w:tcPr>
            <w:vAlign w:val="center"/>
          </w:tcPr>
          <w:p w14:paraId="4EA80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5F1D5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EF45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3F05F3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AFE6F2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548E1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3DD3B6F9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33AD1813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0C3D15E5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0EEF2B8F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766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52C7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52573E0F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8645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4BEE6228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432B6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4A146C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316D8D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34D431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18A2F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34F2F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09F96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44588F0C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3E5D6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2DA54133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01CF5E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02E25EC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7870E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0385B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03531743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4B17A4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30C3BD5F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339244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7748023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1359D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0DB6D9B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11D2F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316BE3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06876FBF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E4F37F8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0197C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2BB465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556FC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371A1A1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245DBF3A">
      <w:pPr>
        <w:pStyle w:val="2"/>
        <w:numPr>
          <w:ilvl w:val="0"/>
          <w:numId w:val="1"/>
        </w:numPr>
      </w:pPr>
      <w:bookmarkStart w:id="39" w:name="_Toc7035"/>
      <w:bookmarkStart w:id="40" w:name="附录"/>
      <w:r>
        <w:rPr>
          <w:rFonts w:hint="eastAsia"/>
        </w:rPr>
        <w:t>附录</w:t>
      </w:r>
      <w:bookmarkEnd w:id="39"/>
    </w:p>
    <w:p w14:paraId="1D96A1CF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5042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0A6C4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7CB7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868C62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7CCA94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0F48163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5A9167C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68C1A86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EB828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438D9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5EC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C2A04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Merge w:val="restart"/>
            <w:vAlign w:val="center"/>
          </w:tcPr>
          <w:p w14:paraId="434F84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综合期刊</w:t>
            </w:r>
          </w:p>
        </w:tc>
        <w:tc>
          <w:tcPr>
            <w:vMerge w:val="restart"/>
            <w:vAlign w:val="center"/>
          </w:tcPr>
          <w:p w14:paraId="00660E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24C49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35F05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2BCA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119.6</w:t>
            </w:r>
          </w:p>
        </w:tc>
      </w:tr>
      <w:tr w14:paraId="6EC9E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D039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1DAE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DDB9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0B37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C730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D288D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3C1C0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76.1</w:t>
            </w:r>
          </w:p>
        </w:tc>
      </w:tr>
      <w:tr w14:paraId="158FD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DAAB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0C8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F6CC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B843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567B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F23F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EF1E4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43.5</w:t>
            </w:r>
          </w:p>
        </w:tc>
      </w:tr>
      <w:tr w14:paraId="49439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15EB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8935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Merge w:val="restart"/>
            <w:vAlign w:val="center"/>
          </w:tcPr>
          <w:p w14:paraId="4FBB9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756D4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200DBF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B8E32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6F04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246.4</w:t>
            </w:r>
          </w:p>
        </w:tc>
      </w:tr>
      <w:tr w14:paraId="3A6C2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5E74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9407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CA7B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1470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FA07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395A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39BEA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156.8</w:t>
            </w:r>
          </w:p>
        </w:tc>
      </w:tr>
      <w:tr w14:paraId="15B07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A6AF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8C3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9B5E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A9D7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F172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E9FD5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822EA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89.6</w:t>
            </w:r>
          </w:p>
        </w:tc>
      </w:tr>
      <w:tr w14:paraId="199E69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998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08BF0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Merge w:val="restart"/>
            <w:vAlign w:val="center"/>
          </w:tcPr>
          <w:p w14:paraId="2E4A9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读者服务部</w:t>
            </w:r>
          </w:p>
        </w:tc>
        <w:tc>
          <w:tcPr>
            <w:vMerge w:val="restart"/>
            <w:vAlign w:val="center"/>
          </w:tcPr>
          <w:p w14:paraId="07FA9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034AD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43ADE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CE25C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30.5</w:t>
            </w:r>
          </w:p>
        </w:tc>
      </w:tr>
      <w:tr w14:paraId="40F3A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4C28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9E9F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7154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87C8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137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034B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58A461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19.4</w:t>
            </w:r>
          </w:p>
        </w:tc>
      </w:tr>
      <w:tr w14:paraId="4E2E5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9D9F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8FF6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B44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5B1F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ED8A2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17B5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2C13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</w:t>
            </w:r>
          </w:p>
        </w:tc>
      </w:tr>
      <w:tr w14:paraId="590A3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87C3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390A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Merge w:val="restart"/>
            <w:vAlign w:val="center"/>
          </w:tcPr>
          <w:p w14:paraId="59DD4F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外文编目</w:t>
            </w:r>
          </w:p>
        </w:tc>
        <w:tc>
          <w:tcPr>
            <w:vMerge w:val="restart"/>
            <w:vAlign w:val="center"/>
          </w:tcPr>
          <w:p w14:paraId="7BACA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09AF8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5150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B69F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</w:p>
        </w:tc>
      </w:tr>
      <w:tr w14:paraId="2C2873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3825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5713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ADC6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AEBA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69B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7960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5A0B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19.9</w:t>
            </w:r>
          </w:p>
        </w:tc>
      </w:tr>
      <w:tr w14:paraId="393D7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F3A8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7FBE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FDC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5B89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A1E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235F6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D798F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 w14:paraId="3BCBD0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359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490B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Merge w:val="restart"/>
            <w:vAlign w:val="center"/>
          </w:tcPr>
          <w:p w14:paraId="0A08F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监控室</w:t>
            </w:r>
          </w:p>
        </w:tc>
        <w:tc>
          <w:tcPr>
            <w:vMerge w:val="restart"/>
            <w:vAlign w:val="center"/>
          </w:tcPr>
          <w:p w14:paraId="28A2CC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15331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A908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C80A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47.1</w:t>
            </w:r>
          </w:p>
        </w:tc>
      </w:tr>
      <w:tr w14:paraId="2E80F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2731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7A11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CFDB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1077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1A4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7A8E9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5B10C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</w:t>
            </w:r>
          </w:p>
        </w:tc>
      </w:tr>
      <w:tr w14:paraId="0EE56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B116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1A10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5354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8B9D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028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8CC7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2F211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</w:t>
            </w:r>
          </w:p>
        </w:tc>
      </w:tr>
      <w:tr w14:paraId="7737D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A1B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D15C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Merge w:val="restart"/>
            <w:vAlign w:val="center"/>
          </w:tcPr>
          <w:p w14:paraId="4C9DB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装订室</w:t>
            </w:r>
          </w:p>
        </w:tc>
        <w:tc>
          <w:tcPr>
            <w:vMerge w:val="restart"/>
            <w:vAlign w:val="center"/>
          </w:tcPr>
          <w:p w14:paraId="648D73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3B4DE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DCD89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AF816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</w:t>
            </w:r>
          </w:p>
        </w:tc>
      </w:tr>
      <w:tr w14:paraId="1CCD9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E451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D79F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0A3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570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178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C1EA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0CC8A0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</w:t>
            </w:r>
          </w:p>
        </w:tc>
      </w:tr>
      <w:tr w14:paraId="6122F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B3FB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983A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23C6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020A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3530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9C1C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6F97A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</w:p>
        </w:tc>
      </w:tr>
      <w:tr w14:paraId="2B014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D15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24FD5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Merge w:val="restart"/>
            <w:vAlign w:val="center"/>
          </w:tcPr>
          <w:p w14:paraId="16EC5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中文编目</w:t>
            </w:r>
          </w:p>
        </w:tc>
        <w:tc>
          <w:tcPr>
            <w:vMerge w:val="restart"/>
            <w:vAlign w:val="center"/>
          </w:tcPr>
          <w:p w14:paraId="6E928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5CAD4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610B1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4ED67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</w:p>
        </w:tc>
      </w:tr>
      <w:tr w14:paraId="7E9B2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AA02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BB98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397A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F206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C6D2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0C25A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546A5E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19.9</w:t>
            </w:r>
          </w:p>
        </w:tc>
      </w:tr>
      <w:tr w14:paraId="0E870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9CBF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D536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BFD8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32EC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4EF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6552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6BC7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 w14:paraId="33BCE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AD26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7E28B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Merge w:val="restart"/>
            <w:vAlign w:val="center"/>
          </w:tcPr>
          <w:p w14:paraId="4EC7C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储藏室</w:t>
            </w:r>
          </w:p>
        </w:tc>
        <w:tc>
          <w:tcPr>
            <w:vMerge w:val="restart"/>
            <w:vAlign w:val="center"/>
          </w:tcPr>
          <w:p w14:paraId="7EE4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0E8E2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7E33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9579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20.0</w:t>
            </w:r>
          </w:p>
        </w:tc>
      </w:tr>
      <w:tr w14:paraId="36D3D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EA1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DF07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3155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450A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0CD9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4E53D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30194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</w:t>
            </w:r>
          </w:p>
        </w:tc>
      </w:tr>
      <w:tr w14:paraId="4AB8B2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50EF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7B45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3C42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E134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089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90D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B802B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</w:p>
        </w:tc>
      </w:tr>
      <w:tr w14:paraId="480E2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45D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7852E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Merge w:val="restart"/>
            <w:vAlign w:val="center"/>
          </w:tcPr>
          <w:p w14:paraId="0EDE34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采购间</w:t>
            </w:r>
          </w:p>
        </w:tc>
        <w:tc>
          <w:tcPr>
            <w:vMerge w:val="restart"/>
            <w:vAlign w:val="center"/>
          </w:tcPr>
          <w:p w14:paraId="7D3C67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216856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188E9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831D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</w:t>
            </w:r>
          </w:p>
        </w:tc>
      </w:tr>
      <w:tr w14:paraId="5516B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DA9B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1F62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82FA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35FB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864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02BD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557F6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65F99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AFE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E374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5825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1D3D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961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AEB66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FAEC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0D1E8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B31B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2193B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vMerge w:val="restart"/>
            <w:vAlign w:val="center"/>
          </w:tcPr>
          <w:p w14:paraId="47B995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报刊库</w:t>
            </w:r>
          </w:p>
        </w:tc>
        <w:tc>
          <w:tcPr>
            <w:vMerge w:val="restart"/>
            <w:vAlign w:val="center"/>
          </w:tcPr>
          <w:p w14:paraId="2FA96E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18A2E2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21FA5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502F3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154.6</w:t>
            </w:r>
          </w:p>
        </w:tc>
      </w:tr>
      <w:tr w14:paraId="0E8EC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D30E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3D34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0D7F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C3B4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3B30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A63C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3795A5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98.4</w:t>
            </w:r>
          </w:p>
        </w:tc>
      </w:tr>
      <w:tr w14:paraId="03681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B8B9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3FF3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01C5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A00D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FAF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E472D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3C446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56.2</w:t>
            </w:r>
          </w:p>
        </w:tc>
      </w:tr>
      <w:tr w14:paraId="3EDFE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828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F71BA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vMerge w:val="restart"/>
            <w:vAlign w:val="center"/>
          </w:tcPr>
          <w:p w14:paraId="56F4D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72C342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DA22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510C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8844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207.2</w:t>
            </w:r>
          </w:p>
        </w:tc>
      </w:tr>
      <w:tr w14:paraId="6FDE6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67A0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06C9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443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054E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C4DF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AD10E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535466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131.9</w:t>
            </w:r>
          </w:p>
        </w:tc>
      </w:tr>
      <w:tr w14:paraId="58EB5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0071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98440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588B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0092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881E6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093AA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5FA3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75.4</w:t>
            </w:r>
          </w:p>
        </w:tc>
      </w:tr>
      <w:tr w14:paraId="730C0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54F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FA881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vMerge w:val="restart"/>
            <w:vAlign w:val="center"/>
          </w:tcPr>
          <w:p w14:paraId="4A977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73EFF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221AA6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C449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57BF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257.6</w:t>
            </w:r>
          </w:p>
        </w:tc>
      </w:tr>
      <w:tr w14:paraId="06D01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2D02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A505B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B3D2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6341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3CE9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F6F4F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5447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163.9</w:t>
            </w:r>
          </w:p>
        </w:tc>
      </w:tr>
      <w:tr w14:paraId="31C10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ABE7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AE7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F65A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6326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2A2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614B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A483D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93.7</w:t>
            </w:r>
          </w:p>
        </w:tc>
      </w:tr>
      <w:tr w14:paraId="0389F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F6AD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36B0C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vMerge w:val="restart"/>
            <w:vAlign w:val="center"/>
          </w:tcPr>
          <w:p w14:paraId="798ED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电子文献阅览室</w:t>
            </w:r>
          </w:p>
        </w:tc>
        <w:tc>
          <w:tcPr>
            <w:vMerge w:val="restart"/>
            <w:vAlign w:val="center"/>
          </w:tcPr>
          <w:p w14:paraId="40E10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726E9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A41F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FCB89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127.2</w:t>
            </w:r>
          </w:p>
        </w:tc>
      </w:tr>
      <w:tr w14:paraId="5FBCC8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A5B1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E27A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3EC8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5143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6F43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400B4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0EA142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80.9</w:t>
            </w:r>
          </w:p>
        </w:tc>
      </w:tr>
      <w:tr w14:paraId="7C6AD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D245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2B01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A4C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ADAB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17FF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A426F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B8DB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46.2</w:t>
            </w:r>
          </w:p>
        </w:tc>
      </w:tr>
      <w:tr w14:paraId="77747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A055C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72F4D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vMerge w:val="restart"/>
            <w:vAlign w:val="center"/>
          </w:tcPr>
          <w:p w14:paraId="6EA3E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报刊库</w:t>
            </w:r>
          </w:p>
        </w:tc>
        <w:tc>
          <w:tcPr>
            <w:vMerge w:val="restart"/>
            <w:vAlign w:val="center"/>
          </w:tcPr>
          <w:p w14:paraId="70B49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6226E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2F79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89B89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154.6</w:t>
            </w:r>
          </w:p>
        </w:tc>
      </w:tr>
      <w:tr w14:paraId="65EF5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ECAD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841E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E6BE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F329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B17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9A1E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F2D5B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98.4</w:t>
            </w:r>
          </w:p>
        </w:tc>
      </w:tr>
      <w:tr w14:paraId="4FD70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F88A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BB1F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E9D0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186F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ADE20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95BE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3192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56.2</w:t>
            </w:r>
          </w:p>
        </w:tc>
      </w:tr>
      <w:tr w14:paraId="33CA9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152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07579F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vMerge w:val="restart"/>
            <w:vAlign w:val="center"/>
          </w:tcPr>
          <w:p w14:paraId="52384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书库</w:t>
            </w:r>
          </w:p>
        </w:tc>
        <w:tc>
          <w:tcPr>
            <w:vMerge w:val="restart"/>
            <w:vAlign w:val="center"/>
          </w:tcPr>
          <w:p w14:paraId="73CD3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2A607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8B769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C668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206.7</w:t>
            </w:r>
          </w:p>
        </w:tc>
      </w:tr>
      <w:tr w14:paraId="57406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293B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1692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1C78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A41C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6E6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0D5F4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B18E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131.5</w:t>
            </w:r>
          </w:p>
        </w:tc>
      </w:tr>
      <w:tr w14:paraId="0F213A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2DF5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059A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5AC1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4FBF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06E2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E4279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5F30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75.2</w:t>
            </w:r>
          </w:p>
        </w:tc>
      </w:tr>
      <w:tr w14:paraId="0E3AA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BC67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08A93A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vMerge w:val="restart"/>
            <w:vAlign w:val="center"/>
          </w:tcPr>
          <w:p w14:paraId="080D61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中文图书库</w:t>
            </w:r>
          </w:p>
        </w:tc>
        <w:tc>
          <w:tcPr>
            <w:vMerge w:val="restart"/>
            <w:vAlign w:val="center"/>
          </w:tcPr>
          <w:p w14:paraId="4A69F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FEBEC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3F370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C8897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256.5</w:t>
            </w:r>
          </w:p>
        </w:tc>
      </w:tr>
      <w:tr w14:paraId="66A36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F99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F5E6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E8B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24CA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1C8E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2440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3FEE0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163.2</w:t>
            </w:r>
          </w:p>
        </w:tc>
      </w:tr>
      <w:tr w14:paraId="16F54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AC24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2AE5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211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B0BE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437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74E4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E8F07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93.3</w:t>
            </w:r>
          </w:p>
        </w:tc>
      </w:tr>
      <w:tr w14:paraId="1F7B0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CCF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438D5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vMerge w:val="restart"/>
            <w:vAlign w:val="center"/>
          </w:tcPr>
          <w:p w14:paraId="0F4CB8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书库</w:t>
            </w:r>
          </w:p>
        </w:tc>
        <w:tc>
          <w:tcPr>
            <w:vMerge w:val="restart"/>
            <w:vAlign w:val="center"/>
          </w:tcPr>
          <w:p w14:paraId="68189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3BADB3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9931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5ADCA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186.2</w:t>
            </w:r>
          </w:p>
        </w:tc>
      </w:tr>
      <w:tr w14:paraId="4D687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73C5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46A9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31FA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1945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5EC4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43764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B21F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118.5</w:t>
            </w:r>
          </w:p>
        </w:tc>
      </w:tr>
      <w:tr w14:paraId="27412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5662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4F73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F372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B2DE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2643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7A5F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3EAD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67.7</w:t>
            </w:r>
          </w:p>
        </w:tc>
      </w:tr>
      <w:tr w14:paraId="723739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5A3EA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176A8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Merge w:val="restart"/>
            <w:vAlign w:val="center"/>
          </w:tcPr>
          <w:p w14:paraId="55EAC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学生自修室</w:t>
            </w:r>
          </w:p>
        </w:tc>
        <w:tc>
          <w:tcPr>
            <w:vMerge w:val="restart"/>
            <w:vAlign w:val="center"/>
          </w:tcPr>
          <w:p w14:paraId="15380E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06F19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784D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B20D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65.3</w:t>
            </w:r>
          </w:p>
        </w:tc>
      </w:tr>
      <w:tr w14:paraId="2F97B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4539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440C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EA22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615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720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03B20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31B05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41.6</w:t>
            </w:r>
          </w:p>
        </w:tc>
      </w:tr>
      <w:tr w14:paraId="18AA6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74F7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E2FA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DFD3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BC38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EE6A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B665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DB7A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</w:t>
            </w:r>
          </w:p>
        </w:tc>
      </w:tr>
      <w:tr w14:paraId="3087A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4BD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16D16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Merge w:val="restart"/>
            <w:vAlign w:val="center"/>
          </w:tcPr>
          <w:p w14:paraId="070B81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Merge w:val="restart"/>
            <w:vAlign w:val="center"/>
          </w:tcPr>
          <w:p w14:paraId="2658F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1EB2F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29B4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17480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9.3</w:t>
            </w:r>
          </w:p>
        </w:tc>
      </w:tr>
      <w:tr w14:paraId="26BC6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B9CB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4DE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7D8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E7E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EB964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6311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B34A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25C05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23A9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A322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0498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8350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2276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1961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9FFFE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6B85A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ACB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030E8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vMerge w:val="restart"/>
            <w:vAlign w:val="center"/>
          </w:tcPr>
          <w:p w14:paraId="142037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Merge w:val="restart"/>
            <w:vAlign w:val="center"/>
          </w:tcPr>
          <w:p w14:paraId="4F1E0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5FBC5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0574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7D0E6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</w:t>
            </w:r>
          </w:p>
        </w:tc>
      </w:tr>
      <w:tr w14:paraId="73BE6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B81D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88AB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F839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3ED7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1DC6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AEB8A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97B10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5.8</w:t>
            </w:r>
          </w:p>
        </w:tc>
      </w:tr>
      <w:tr w14:paraId="1BC33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1107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19B2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4853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2B24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5C1F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7DC5E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6940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</w:tr>
      <w:tr w14:paraId="7BAB7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701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7CE9B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Merge w:val="restart"/>
            <w:vAlign w:val="center"/>
          </w:tcPr>
          <w:p w14:paraId="2BD9D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Merge w:val="restart"/>
            <w:vAlign w:val="center"/>
          </w:tcPr>
          <w:p w14:paraId="7166A9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E925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7629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D1F5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60ED2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72CF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321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33E7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99A1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2C8D7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3C51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05C112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</w:tr>
      <w:tr w14:paraId="78460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EC2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A397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8426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0880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3BE4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FF92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43D1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</w:t>
            </w:r>
          </w:p>
        </w:tc>
      </w:tr>
      <w:tr w14:paraId="0C38D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5FC2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613B8C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vMerge w:val="restart"/>
            <w:vAlign w:val="center"/>
          </w:tcPr>
          <w:p w14:paraId="66E570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Merge w:val="restart"/>
            <w:vAlign w:val="center"/>
          </w:tcPr>
          <w:p w14:paraId="66947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265E6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231F2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A3C0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 w14:paraId="3F13C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129B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C06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464C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9F3E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759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99F2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3DF11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</w:tr>
      <w:tr w14:paraId="5FE18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B064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E01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F6D7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6C38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F134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80A0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279A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</w:t>
            </w:r>
          </w:p>
        </w:tc>
      </w:tr>
      <w:tr w14:paraId="3A54C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7DFD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40B4B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Merge w:val="restart"/>
            <w:vAlign w:val="center"/>
          </w:tcPr>
          <w:p w14:paraId="1ECB54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Merge w:val="restart"/>
            <w:vAlign w:val="center"/>
          </w:tcPr>
          <w:p w14:paraId="5146C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3B9334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353A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26BA3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</w:t>
            </w:r>
          </w:p>
        </w:tc>
      </w:tr>
      <w:tr w14:paraId="060E1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444D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A36E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2F6C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A0FD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751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D1510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FF8B9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8.1</w:t>
            </w:r>
          </w:p>
        </w:tc>
      </w:tr>
      <w:tr w14:paraId="7B22F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60FC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82B4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FFD2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832B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DE07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B09B2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6F24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</w:t>
            </w:r>
          </w:p>
        </w:tc>
      </w:tr>
      <w:tr w14:paraId="67386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9BC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25CAE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Merge w:val="restart"/>
            <w:vAlign w:val="center"/>
          </w:tcPr>
          <w:p w14:paraId="348B0E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Merge w:val="restart"/>
            <w:vAlign w:val="center"/>
          </w:tcPr>
          <w:p w14:paraId="5B984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0D19F3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2F845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879E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12.7</w:t>
            </w:r>
          </w:p>
        </w:tc>
      </w:tr>
      <w:tr w14:paraId="2186E0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1E35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7CF6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0DAB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AABA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511D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6EBD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051F5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8.1</w:t>
            </w:r>
          </w:p>
        </w:tc>
      </w:tr>
      <w:tr w14:paraId="577C9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9382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2666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4181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48D9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3EE4A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021D5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BDB59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</w:t>
            </w:r>
          </w:p>
        </w:tc>
      </w:tr>
      <w:tr w14:paraId="326A8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B30F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7501F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Merge w:val="restart"/>
            <w:vAlign w:val="center"/>
          </w:tcPr>
          <w:p w14:paraId="6291A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Merge w:val="restart"/>
            <w:vAlign w:val="center"/>
          </w:tcPr>
          <w:p w14:paraId="1E2B8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63DD75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03B12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CB936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</w:t>
            </w:r>
          </w:p>
        </w:tc>
      </w:tr>
      <w:tr w14:paraId="399B0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C318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F0F1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E29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A192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43E50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8464F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5AF31D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 w14:paraId="3A3BE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A2F8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17DE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4835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074F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E82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CA557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14C7B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</w:tr>
      <w:tr w14:paraId="58C21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BAD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674F4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Merge w:val="restart"/>
            <w:vAlign w:val="center"/>
          </w:tcPr>
          <w:p w14:paraId="04374F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外文图书馆</w:t>
            </w:r>
          </w:p>
        </w:tc>
        <w:tc>
          <w:tcPr>
            <w:vMerge w:val="restart"/>
            <w:vAlign w:val="center"/>
          </w:tcPr>
          <w:p w14:paraId="43208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5396C3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6BC4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39B03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169.7</w:t>
            </w:r>
          </w:p>
        </w:tc>
      </w:tr>
      <w:tr w14:paraId="69C24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243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6F9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61D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6494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37156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7FBCC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D308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108.0</w:t>
            </w:r>
          </w:p>
        </w:tc>
      </w:tr>
      <w:tr w14:paraId="4A598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605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A3D8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0237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D0E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82EB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C8CD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2D55A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61.7</w:t>
            </w:r>
          </w:p>
        </w:tc>
      </w:tr>
      <w:tr w14:paraId="6F8FB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039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0EBA2F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Merge w:val="restart"/>
            <w:vAlign w:val="center"/>
          </w:tcPr>
          <w:p w14:paraId="3D5DD1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Merge w:val="restart"/>
            <w:vAlign w:val="center"/>
          </w:tcPr>
          <w:p w14:paraId="08DE9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568A8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43DBD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D34E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 w14:paraId="75014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C333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E8C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30F2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5C82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E63C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CC833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0ED7F1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</w:tr>
      <w:tr w14:paraId="3FB46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C727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C26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ED47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E410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C65C9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9724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4442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</w:tr>
      <w:tr w14:paraId="4D686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8563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0F8AB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Merge w:val="restart"/>
            <w:vAlign w:val="center"/>
          </w:tcPr>
          <w:p w14:paraId="16E06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特藏书库</w:t>
            </w:r>
          </w:p>
        </w:tc>
        <w:tc>
          <w:tcPr>
            <w:vMerge w:val="restart"/>
            <w:vAlign w:val="center"/>
          </w:tcPr>
          <w:p w14:paraId="38DF8B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166FF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D3B8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1202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186.2</w:t>
            </w:r>
          </w:p>
        </w:tc>
      </w:tr>
      <w:tr w14:paraId="44546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DB72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C54D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178F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A762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DDE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F40D9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701D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118.5</w:t>
            </w:r>
          </w:p>
        </w:tc>
      </w:tr>
      <w:tr w14:paraId="2EE87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24BF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3329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A04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9EE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032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F54A2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90CB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67.7</w:t>
            </w:r>
          </w:p>
        </w:tc>
      </w:tr>
      <w:tr w14:paraId="691975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0CAC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07F58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vMerge w:val="restart"/>
            <w:vAlign w:val="center"/>
          </w:tcPr>
          <w:p w14:paraId="17594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报告厅</w:t>
            </w:r>
          </w:p>
        </w:tc>
        <w:tc>
          <w:tcPr>
            <w:vMerge w:val="restart"/>
            <w:vAlign w:val="center"/>
          </w:tcPr>
          <w:p w14:paraId="29BC7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552085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D137D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85522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143.6</w:t>
            </w:r>
          </w:p>
        </w:tc>
      </w:tr>
      <w:tr w14:paraId="70D37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0658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D638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8ACA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E6F7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D29A3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EFD0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C78F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123.1</w:t>
            </w:r>
          </w:p>
        </w:tc>
      </w:tr>
      <w:tr w14:paraId="46A63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692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4F66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FE3D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DD4A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743F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984BF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AA33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225.6</w:t>
            </w:r>
          </w:p>
        </w:tc>
      </w:tr>
      <w:tr w14:paraId="1A22E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6B44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533DCF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vMerge w:val="restart"/>
            <w:vAlign w:val="center"/>
          </w:tcPr>
          <w:p w14:paraId="118198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</w:t>
            </w:r>
          </w:p>
        </w:tc>
        <w:tc>
          <w:tcPr>
            <w:vMerge w:val="restart"/>
            <w:vAlign w:val="center"/>
          </w:tcPr>
          <w:p w14:paraId="06030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7A1D1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896E7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32A7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</w:tr>
      <w:tr w14:paraId="65367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46F7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4CA0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43A8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8D16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650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CE91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811A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25.3</w:t>
            </w:r>
          </w:p>
        </w:tc>
      </w:tr>
      <w:tr w14:paraId="50C06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FD98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477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3C9E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77C6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0CB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387C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396C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197A02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38A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2A966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vMerge w:val="restart"/>
            <w:vAlign w:val="center"/>
          </w:tcPr>
          <w:p w14:paraId="0ECA54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</w:t>
            </w:r>
          </w:p>
        </w:tc>
        <w:tc>
          <w:tcPr>
            <w:vMerge w:val="restart"/>
            <w:vAlign w:val="center"/>
          </w:tcPr>
          <w:p w14:paraId="16676E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2ACD00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F2F6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B266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</w:t>
            </w:r>
          </w:p>
        </w:tc>
      </w:tr>
      <w:tr w14:paraId="3F4C8A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8206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EF46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F2CD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07E1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D817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0EB7D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B3B4F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25.3</w:t>
            </w:r>
          </w:p>
        </w:tc>
      </w:tr>
      <w:tr w14:paraId="65B8F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1D6E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A02D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9610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A112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03C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4714C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6144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 w14:paraId="20FBC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007B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63F78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vMerge w:val="restart"/>
            <w:vAlign w:val="center"/>
          </w:tcPr>
          <w:p w14:paraId="1B1036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馆长</w:t>
            </w:r>
          </w:p>
        </w:tc>
        <w:tc>
          <w:tcPr>
            <w:vMerge w:val="restart"/>
            <w:vAlign w:val="center"/>
          </w:tcPr>
          <w:p w14:paraId="28284E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196E3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F110B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41C2D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</w:t>
            </w:r>
          </w:p>
        </w:tc>
      </w:tr>
      <w:tr w14:paraId="5DC7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6DF5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7AC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7DE2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88B0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0D86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1018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7766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25.2</w:t>
            </w:r>
          </w:p>
        </w:tc>
      </w:tr>
      <w:tr w14:paraId="7B53E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810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45EA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3B01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AF05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AA4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AB170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6F9DC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</w:t>
            </w:r>
          </w:p>
        </w:tc>
      </w:tr>
      <w:tr w14:paraId="6A85B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3B62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 w14:paraId="2B271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Merge w:val="restart"/>
            <w:vAlign w:val="center"/>
          </w:tcPr>
          <w:p w14:paraId="63D3D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</w:t>
            </w:r>
          </w:p>
        </w:tc>
        <w:tc>
          <w:tcPr>
            <w:vMerge w:val="restart"/>
            <w:vAlign w:val="center"/>
          </w:tcPr>
          <w:p w14:paraId="64C933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3366D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65C90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D301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46.4</w:t>
            </w:r>
          </w:p>
        </w:tc>
      </w:tr>
      <w:tr w14:paraId="44B5F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660C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FEB9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5B2F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0239D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9EE74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DBF3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2FAFB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</w:p>
        </w:tc>
      </w:tr>
      <w:tr w14:paraId="6E1BD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648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36B5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FCE0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DD21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56BE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F5BA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EAE7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16.9</w:t>
            </w:r>
          </w:p>
        </w:tc>
      </w:tr>
    </w:tbl>
    <w:p w14:paraId="785A3B4F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03F498C7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24708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1F3A5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8DEE3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B28FA3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670C5A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7B374A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0B0A905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0ABA3A7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0E04217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6F69388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46D325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01059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CD257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A50D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2B42E6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综合期刊</w:t>
            </w:r>
          </w:p>
        </w:tc>
        <w:tc>
          <w:tcPr>
            <w:vAlign w:val="center"/>
          </w:tcPr>
          <w:p w14:paraId="24E19E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2B813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4A48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6F5921F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982045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BD86D8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17CE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F13C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65049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09D0A9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172443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673F35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FBB7C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356C4AB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81FB1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AA327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CABF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BA16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74104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24A16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读者服务部</w:t>
            </w:r>
          </w:p>
        </w:tc>
        <w:tc>
          <w:tcPr>
            <w:vAlign w:val="center"/>
          </w:tcPr>
          <w:p w14:paraId="7FAA11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61DD3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7BE34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4FDC39B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77EE6C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4160BC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8A58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655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E624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3A9B4D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外文编目</w:t>
            </w:r>
          </w:p>
        </w:tc>
        <w:tc>
          <w:tcPr>
            <w:vAlign w:val="center"/>
          </w:tcPr>
          <w:p w14:paraId="6500B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613C4D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7A30F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447123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53782B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A2747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A33D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5D84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0D81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69DDEA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监控室</w:t>
            </w:r>
          </w:p>
        </w:tc>
        <w:tc>
          <w:tcPr>
            <w:vAlign w:val="center"/>
          </w:tcPr>
          <w:p w14:paraId="356608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5CCEE7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1C19F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2C89B3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DC24F1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668EAF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F156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FE57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D4DE6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62F74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装订室</w:t>
            </w:r>
          </w:p>
        </w:tc>
        <w:tc>
          <w:tcPr>
            <w:vAlign w:val="center"/>
          </w:tcPr>
          <w:p w14:paraId="2A60B8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69BAB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E8840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02277EF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9DF73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732447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4D62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47FD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AB23F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60B24D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中文编目</w:t>
            </w:r>
          </w:p>
        </w:tc>
        <w:tc>
          <w:tcPr>
            <w:vAlign w:val="center"/>
          </w:tcPr>
          <w:p w14:paraId="32902F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37AD9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F2E0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7BADB4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08B51E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76684D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1FE5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6D08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6FE4A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1F5C6F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储藏室</w:t>
            </w:r>
          </w:p>
        </w:tc>
        <w:tc>
          <w:tcPr>
            <w:vAlign w:val="center"/>
          </w:tcPr>
          <w:p w14:paraId="47FFD5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75B7D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D0E9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3A31BD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D5718D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9B47F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44FD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DAB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2EAB0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74E51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采购间</w:t>
            </w:r>
          </w:p>
        </w:tc>
        <w:tc>
          <w:tcPr>
            <w:vAlign w:val="center"/>
          </w:tcPr>
          <w:p w14:paraId="0AC1F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69E65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C65A8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0.123</w:t>
            </w:r>
          </w:p>
        </w:tc>
        <w:tc>
          <w:tcPr>
            <w:vAlign w:val="center"/>
          </w:tcPr>
          <w:p w14:paraId="04745A8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5AEEC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86DBE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D0E9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89F22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51C45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vAlign w:val="center"/>
          </w:tcPr>
          <w:p w14:paraId="2C367D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报刊库</w:t>
            </w:r>
          </w:p>
        </w:tc>
        <w:tc>
          <w:tcPr>
            <w:vAlign w:val="center"/>
          </w:tcPr>
          <w:p w14:paraId="69CF1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7A041B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9126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1AB028D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E97287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2B6B53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74F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2026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E0D1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vAlign w:val="center"/>
          </w:tcPr>
          <w:p w14:paraId="67270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7FA23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C0DED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69FC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2A87716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9F4E8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D41C4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92989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C8B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8FC9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vAlign w:val="center"/>
          </w:tcPr>
          <w:p w14:paraId="73F99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0A46A7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453B1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D662D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2ECDB6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1D1347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632A2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AC7B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981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946B6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vAlign w:val="center"/>
          </w:tcPr>
          <w:p w14:paraId="307BA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电子文献阅览室</w:t>
            </w:r>
          </w:p>
        </w:tc>
        <w:tc>
          <w:tcPr>
            <w:vAlign w:val="center"/>
          </w:tcPr>
          <w:p w14:paraId="6A46A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4A6C9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18327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24361AB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579EC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C0525B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407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BDDF3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C229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vAlign w:val="center"/>
          </w:tcPr>
          <w:p w14:paraId="75244B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报刊库</w:t>
            </w:r>
          </w:p>
        </w:tc>
        <w:tc>
          <w:tcPr>
            <w:vAlign w:val="center"/>
          </w:tcPr>
          <w:p w14:paraId="26CF7B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3810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6C31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5343C9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A5602A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B3F30C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41EF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350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6F9FE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vAlign w:val="center"/>
          </w:tcPr>
          <w:p w14:paraId="5E5EF9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书库</w:t>
            </w:r>
          </w:p>
        </w:tc>
        <w:tc>
          <w:tcPr>
            <w:vAlign w:val="center"/>
          </w:tcPr>
          <w:p w14:paraId="6BBD2E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006CA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7B42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53AB45D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856D8A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6C5E5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55FC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88A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202ED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vAlign w:val="center"/>
          </w:tcPr>
          <w:p w14:paraId="62A350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中文图书库</w:t>
            </w:r>
          </w:p>
        </w:tc>
        <w:tc>
          <w:tcPr>
            <w:vAlign w:val="center"/>
          </w:tcPr>
          <w:p w14:paraId="5899F6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7A37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1AE4C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29811C8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DDDC1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A93685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257D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031B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41B6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vAlign w:val="center"/>
          </w:tcPr>
          <w:p w14:paraId="1CE55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书库</w:t>
            </w:r>
          </w:p>
        </w:tc>
        <w:tc>
          <w:tcPr>
            <w:vAlign w:val="center"/>
          </w:tcPr>
          <w:p w14:paraId="3D71AF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8E113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B48A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7BA4AE5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3F781E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E3015E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BC33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F5781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38DD67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vAlign w:val="center"/>
          </w:tcPr>
          <w:p w14:paraId="25545B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学生自修室</w:t>
            </w:r>
          </w:p>
        </w:tc>
        <w:tc>
          <w:tcPr>
            <w:vAlign w:val="center"/>
          </w:tcPr>
          <w:p w14:paraId="3CBBE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02B2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AC609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3510311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E8218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C9EF32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05DD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016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77490C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745D7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Align w:val="center"/>
          </w:tcPr>
          <w:p w14:paraId="7E1045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2D07F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FAA3B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2567957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7E281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93721D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E5F2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593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15DE4B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vAlign w:val="center"/>
          </w:tcPr>
          <w:p w14:paraId="644C3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Align w:val="center"/>
          </w:tcPr>
          <w:p w14:paraId="5A7BB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05BB0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9CE40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791254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9E421B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3BFAA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01C5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56F6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1F8D9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vAlign w:val="center"/>
          </w:tcPr>
          <w:p w14:paraId="0A9ED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Align w:val="center"/>
          </w:tcPr>
          <w:p w14:paraId="6AD422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252C7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2C4FB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20CCB49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527855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0C1013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D24D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9565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570CA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vAlign w:val="center"/>
          </w:tcPr>
          <w:p w14:paraId="1DBF0C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Align w:val="center"/>
          </w:tcPr>
          <w:p w14:paraId="03C93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6D6B6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5AB7C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6993B68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CB51F5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61510B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DDFA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8C8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4BBD78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vAlign w:val="center"/>
          </w:tcPr>
          <w:p w14:paraId="11990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Align w:val="center"/>
          </w:tcPr>
          <w:p w14:paraId="50CA9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76F6B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25CCC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740D3E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FC1E63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F4B558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35C8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D568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22C560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vAlign w:val="center"/>
          </w:tcPr>
          <w:p w14:paraId="4863F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Align w:val="center"/>
          </w:tcPr>
          <w:p w14:paraId="7221B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79725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61FC7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2441C9E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69FA6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96BCCD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47FC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6FF6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0E7B4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vAlign w:val="center"/>
          </w:tcPr>
          <w:p w14:paraId="33027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Align w:val="center"/>
          </w:tcPr>
          <w:p w14:paraId="430572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25E3F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34F3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7FF74F2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BDB194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23B77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0EEA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E25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5F0D79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51BF1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外文图书馆</w:t>
            </w:r>
          </w:p>
        </w:tc>
        <w:tc>
          <w:tcPr>
            <w:vAlign w:val="center"/>
          </w:tcPr>
          <w:p w14:paraId="625B9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56165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2C99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29111B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88ED2D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CFBCC3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665F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8D47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5F181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vAlign w:val="center"/>
          </w:tcPr>
          <w:p w14:paraId="1704ED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教师研修室</w:t>
            </w:r>
          </w:p>
        </w:tc>
        <w:tc>
          <w:tcPr>
            <w:vAlign w:val="center"/>
          </w:tcPr>
          <w:p w14:paraId="14B13E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4F3988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9096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6883D9A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BE00E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0EB6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A1B9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6F20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678FB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Align w:val="center"/>
          </w:tcPr>
          <w:p w14:paraId="64A0E1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特藏书库</w:t>
            </w:r>
          </w:p>
        </w:tc>
        <w:tc>
          <w:tcPr>
            <w:vAlign w:val="center"/>
          </w:tcPr>
          <w:p w14:paraId="3F158F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4DC7D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2B5C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32EF190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133B1A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5853F5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569C8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A1B2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374E5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vAlign w:val="center"/>
          </w:tcPr>
          <w:p w14:paraId="6719B8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报告厅</w:t>
            </w:r>
          </w:p>
        </w:tc>
        <w:tc>
          <w:tcPr>
            <w:vAlign w:val="center"/>
          </w:tcPr>
          <w:p w14:paraId="79EAED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16A272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F6C52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1D98957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C24409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941A7C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977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AA1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6F30E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vAlign w:val="center"/>
          </w:tcPr>
          <w:p w14:paraId="2B234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</w:t>
            </w:r>
          </w:p>
        </w:tc>
        <w:tc>
          <w:tcPr>
            <w:vAlign w:val="center"/>
          </w:tcPr>
          <w:p w14:paraId="216D1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 w14:paraId="27CCB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0B0F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0.109</w:t>
            </w:r>
          </w:p>
        </w:tc>
        <w:tc>
          <w:tcPr>
            <w:vAlign w:val="center"/>
          </w:tcPr>
          <w:p w14:paraId="1B0E99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39694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383373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8B65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AD44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12F518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</w:t>
            </w:r>
          </w:p>
        </w:tc>
        <w:tc>
          <w:tcPr>
            <w:vAlign w:val="center"/>
          </w:tcPr>
          <w:p w14:paraId="564B2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</w:t>
            </w:r>
          </w:p>
        </w:tc>
        <w:tc>
          <w:tcPr>
            <w:vAlign w:val="center"/>
          </w:tcPr>
          <w:p w14:paraId="3F4EAA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 w14:paraId="5AF45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FF44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0.109</w:t>
            </w:r>
          </w:p>
        </w:tc>
        <w:tc>
          <w:tcPr>
            <w:vAlign w:val="center"/>
          </w:tcPr>
          <w:p w14:paraId="727C4E4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F3D1E7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A8678F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FE28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EB81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3F8E36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vAlign w:val="center"/>
          </w:tcPr>
          <w:p w14:paraId="50FECB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馆长</w:t>
            </w:r>
          </w:p>
        </w:tc>
        <w:tc>
          <w:tcPr>
            <w:vAlign w:val="center"/>
          </w:tcPr>
          <w:p w14:paraId="76A50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 w14:paraId="1E0C33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EB15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0.109</w:t>
            </w:r>
          </w:p>
        </w:tc>
        <w:tc>
          <w:tcPr>
            <w:vAlign w:val="center"/>
          </w:tcPr>
          <w:p w14:paraId="37332C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F3310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8922A5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8FFE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6DDF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 w14:paraId="41F2E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382C26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</w:t>
            </w:r>
          </w:p>
        </w:tc>
        <w:tc>
          <w:tcPr>
            <w:vAlign w:val="center"/>
          </w:tcPr>
          <w:p w14:paraId="18693C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2946C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3459E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0.148</w:t>
            </w:r>
          </w:p>
        </w:tc>
        <w:tc>
          <w:tcPr>
            <w:vAlign w:val="center"/>
          </w:tcPr>
          <w:p w14:paraId="7565B3C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06198D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D3B783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5196E48B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74A10462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42A24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22DA67EA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0608A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EF8A9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3C14B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88D00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DB140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726E2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2B5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0.jpeg"/><Relationship Id="rId17" Type="http://schemas.openxmlformats.org/officeDocument/2006/relationships/image" Target="media/image9.png"/><Relationship Id="rId16" Type="http://schemas.openxmlformats.org/officeDocument/2006/relationships/image" Target="media/image8.bmp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tmp37.dotx</Template>
  <Pages>17</Pages>
  <Words>3495</Words>
  <Characters>4608</Characters>
  <Lines>25</Lines>
  <Paragraphs>7</Paragraphs>
  <TotalTime>0</TotalTime>
  <ScaleCrop>false</ScaleCrop>
  <LinksUpToDate>false</LinksUpToDate>
  <CharactersWithSpaces>5688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2025-02-15T04:42:00Z</dcterms:created>
  <dc:creator>肉多多的汤饭</dc:creator>
  <cp:lastModifiedBy>肉多多的汤饭</cp:lastModifiedBy>
  <dcterms:modified xsi:type="dcterms:W3CDTF">2025-02-15T04:42:48Z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12B6BEB8ED394766AABCD9542AF498D0_11</vt:lpwstr>
  </property>
  <property fmtid="{D5CDD505-2E9C-101B-9397-08002B2CF9AE}" pid="3" name="KSOTemplateDocerSaveRecord">
    <vt:lpwstr>eyJoZGlkIjoiN2RmYTRjZmU2ODgxNjQ1M2M0NDFiZmEwMDc2MTVmOTMiLCJ1c2VySWQiOiI2Mjc4MTM0NTIifQ==</vt:lpwstr>
  </property>
  <property fmtid="{D5CDD505-2E9C-101B-9397-08002B2CF9AE}" pid="4" name="KSOProductBuildVer">
    <vt:lpwstr>2052-12.1.0.19770</vt:lpwstr>
  </property>
</Properties>
</file>