
<file path=[Content_Types].xml><?xml version="1.0" encoding="utf-8"?>
<Types xmlns="http://schemas.openxmlformats.org/package/2006/content-types">
  <Default Extension="xml" ContentType="application/xml"/>
  <Default Extension="jpeg" ContentType="image/jpe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jc w:val="center"/>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地下室采光分析报告书</w:t>
      </w:r>
    </w:p>
    <w:p>
      <w:pPr>
        <w:spacing w:line="180" w:lineRule="atLeast"/>
        <w:jc w:val="center"/>
        <w:rPr>
          <w:rFonts w:ascii="宋体" w:hAnsi="宋体"/>
          <w:b/>
          <w:bCs/>
          <w:lang w:val="en-US"/>
        </w:rPr>
      </w:pPr>
    </w:p>
    <w:p>
      <w:pPr>
        <w:spacing w:line="180" w:lineRule="atLeast"/>
        <w:jc w:val="center"/>
        <w:rPr>
          <w:rFonts w:ascii="宋体" w:hAnsi="宋体"/>
          <w:b/>
          <w:bCs/>
          <w:lang w:val="en-US"/>
        </w:rPr>
      </w:pPr>
    </w:p>
    <w:p>
      <w:pPr>
        <w:spacing w:line="180" w:lineRule="atLeast"/>
        <w:jc w:val="center"/>
        <w:rPr>
          <w:rFonts w:ascii="宋体" w:hAnsi="宋体"/>
          <w:b/>
          <w:bCs/>
          <w:lang w:val="en-US"/>
        </w:rPr>
      </w:pPr>
    </w:p>
    <w:p>
      <w:pPr>
        <w:spacing w:line="180" w:lineRule="atLeast"/>
        <w:jc w:val="center"/>
        <w:rPr>
          <w:rFonts w:ascii="宋体" w:hAnsi="宋体"/>
          <w:b/>
          <w:bCs/>
          <w:lang w:val="en-US"/>
        </w:rPr>
      </w:pPr>
    </w:p>
    <w:p>
      <w:pPr>
        <w:spacing w:line="180" w:lineRule="atLeast"/>
        <w:jc w:val="center"/>
        <w:rPr>
          <w:rFonts w:ascii="宋体" w:hAnsi="宋体"/>
          <w:b/>
          <w:bCs/>
          <w:sz w:val="20"/>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800" w:type="dxa"/>
            <w:tcBorders>
              <w:top w:val="single" w:color="auto" w:sz="12" w:space="0"/>
              <w:bottom w:val="single" w:color="auto" w:sz="6" w:space="0"/>
            </w:tcBorders>
            <w:shd w:val="clear" w:color="auto" w:fill="E6E6E6"/>
            <w:vAlign w:val="center"/>
          </w:tcPr>
          <w:p>
            <w:pPr>
              <w:pStyle w:val="33"/>
            </w:pPr>
            <w:bookmarkStart w:id="75" w:name="_GoBack" w:colFirst="1" w:colLast="1"/>
            <w:r>
              <w:rPr>
                <w:rFonts w:hint="eastAsia"/>
              </w:rPr>
              <w:t>工程名称</w:t>
            </w:r>
          </w:p>
        </w:tc>
        <w:tc>
          <w:tcPr>
            <w:tcW w:w="3780" w:type="dxa"/>
            <w:vAlign w:val="center"/>
          </w:tcPr>
          <w:p>
            <w:pPr>
              <w:pStyle w:val="33"/>
              <w:rPr>
                <w:rFonts w:hint="default" w:eastAsia="微软雅黑"/>
                <w:lang w:val="en-US" w:eastAsia="zh-CN"/>
              </w:rPr>
            </w:pPr>
            <w:bookmarkStart w:id="0" w:name="工程名称"/>
            <w:r>
              <w:t>长沙</w:t>
            </w:r>
            <w:bookmarkEnd w:id="0"/>
            <w:r>
              <w:rPr>
                <w:rFonts w:hint="eastAsia"/>
                <w:lang w:val="en-US" w:eastAsia="zh-CN"/>
              </w:rPr>
              <w:t>某办公楼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vAlign w:val="center"/>
          </w:tcPr>
          <w:p>
            <w:pPr>
              <w:pStyle w:val="33"/>
            </w:pPr>
            <w:r>
              <w:rPr>
                <w:rFonts w:hint="eastAsia"/>
              </w:rPr>
              <w:t>设计编号</w:t>
            </w:r>
          </w:p>
        </w:tc>
        <w:tc>
          <w:tcPr>
            <w:tcW w:w="3780"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GB" w:eastAsia="zh-CN" w:bidi="ar-SA"/>
              </w:rPr>
            </w:pPr>
            <w:bookmarkStart w:id="1" w:name="设计编号"/>
            <w:bookmarkEnd w:id="1"/>
            <w:r>
              <w:rPr>
                <w:rFonts w:hint="eastAsia" w:ascii="宋体" w:hAnsi="宋体" w:eastAsia="宋体" w:cs="宋体"/>
                <w:i w:val="0"/>
                <w:color w:val="000000"/>
                <w:kern w:val="0"/>
                <w:sz w:val="22"/>
                <w:szCs w:val="22"/>
                <w:u w:val="none"/>
                <w:lang w:val="en-US" w:eastAsia="zh-CN" w:bidi="ar"/>
              </w:rPr>
              <w:t>YBB70008</w:t>
            </w:r>
          </w:p>
        </w:tc>
      </w:tr>
      <w:bookmarkEnd w:id="75"/>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3"/>
            </w:pPr>
            <w:r>
              <w:rPr>
                <w:rFonts w:hint="eastAsia"/>
              </w:rPr>
              <w:t>建设单位</w:t>
            </w:r>
          </w:p>
        </w:tc>
        <w:tc>
          <w:tcPr>
            <w:tcW w:w="3780" w:type="dxa"/>
            <w:vAlign w:val="center"/>
          </w:tcPr>
          <w:p>
            <w:pPr>
              <w:pStyle w:val="33"/>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3"/>
            </w:pPr>
            <w:r>
              <w:rPr>
                <w:rFonts w:hint="eastAsia"/>
              </w:rPr>
              <w:t>设计单位</w:t>
            </w:r>
          </w:p>
        </w:tc>
        <w:tc>
          <w:tcPr>
            <w:tcW w:w="3780" w:type="dxa"/>
            <w:vAlign w:val="center"/>
          </w:tcPr>
          <w:p>
            <w:pPr>
              <w:pStyle w:val="33"/>
              <w:rPr>
                <w:rFonts w:hint="eastAsia" w:eastAsia="微软雅黑"/>
                <w:lang w:val="en-US" w:eastAsia="zh-CN"/>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3"/>
            </w:pPr>
            <w:r>
              <w:rPr>
                <w:rFonts w:hint="eastAsia"/>
              </w:rPr>
              <w:t>审 核 人</w:t>
            </w:r>
          </w:p>
        </w:tc>
        <w:tc>
          <w:tcPr>
            <w:tcW w:w="3780" w:type="dxa"/>
            <w:vAlign w:val="center"/>
          </w:tcPr>
          <w:p>
            <w:pPr>
              <w:pStyle w:val="33"/>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3"/>
            </w:pPr>
            <w:r>
              <w:rPr>
                <w:rFonts w:hint="eastAsia"/>
              </w:rPr>
              <w:t>审 定 人</w:t>
            </w:r>
          </w:p>
        </w:tc>
        <w:tc>
          <w:tcPr>
            <w:tcW w:w="3780" w:type="dxa"/>
            <w:vAlign w:val="center"/>
          </w:tcPr>
          <w:p>
            <w:pPr>
              <w:pStyle w:val="33"/>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3"/>
            </w:pPr>
            <w:r>
              <w:rPr>
                <w:rFonts w:hint="eastAsia"/>
              </w:rPr>
              <w:t>计算日期</w:t>
            </w:r>
          </w:p>
        </w:tc>
        <w:tc>
          <w:tcPr>
            <w:tcW w:w="3780" w:type="dxa"/>
            <w:vAlign w:val="center"/>
          </w:tcPr>
          <w:p>
            <w:pPr>
              <w:pStyle w:val="33"/>
            </w:pPr>
            <w:bookmarkStart w:id="6" w:name="计算日期"/>
            <w:r>
              <w:t>2024年12月15日</w:t>
            </w:r>
            <w:bookmarkEnd w:id="6"/>
          </w:p>
        </w:tc>
      </w:tr>
    </w:tbl>
    <w:p>
      <w:pPr>
        <w:pStyle w:val="33"/>
      </w:pPr>
    </w:p>
    <w:p>
      <w:pPr>
        <w:pStyle w:val="33"/>
        <w:rPr>
          <w:rFonts w:ascii="黑体" w:hAnsi="黑体" w:eastAsia="黑体"/>
          <w:sz w:val="30"/>
          <w:szCs w:val="32"/>
        </w:rPr>
      </w:pPr>
      <w:bookmarkStart w:id="7" w:name="二维码"/>
      <w:bookmarkEnd w:id="7"/>
      <w:r>
        <w:drawing>
          <wp:inline distT="0" distB="0" distL="0" distR="0">
            <wp:extent cx="2171700" cy="21717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3"/>
        <w:rPr>
          <w:rFonts w:ascii="黑体" w:hAnsi="黑体" w:eastAsia="黑体"/>
          <w:sz w:val="30"/>
          <w:szCs w:val="32"/>
        </w:rPr>
      </w:pPr>
    </w:p>
    <w:p>
      <w:pPr>
        <w:pStyle w:val="33"/>
        <w:rPr>
          <w:rFonts w:ascii="黑体" w:hAnsi="黑体" w:eastAsia="黑体"/>
          <w:b/>
          <w:sz w:val="30"/>
          <w:szCs w:val="32"/>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pPr>
            <w:r>
              <w:rPr>
                <w:rFonts w:hint="eastAsia"/>
              </w:rPr>
              <w:t>采用软件</w:t>
            </w:r>
          </w:p>
        </w:tc>
        <w:tc>
          <w:tcPr>
            <w:tcW w:w="3780" w:type="dxa"/>
            <w:vAlign w:val="center"/>
          </w:tcPr>
          <w:p>
            <w:pPr>
              <w:pStyle w:val="33"/>
              <w:rPr>
                <w:szCs w:val="18"/>
              </w:rP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pPr>
            <w:r>
              <w:rPr>
                <w:rFonts w:hint="eastAsia"/>
              </w:rPr>
              <w:t>软件版本</w:t>
            </w:r>
          </w:p>
        </w:tc>
        <w:tc>
          <w:tcPr>
            <w:tcW w:w="3780" w:type="dxa"/>
            <w:vAlign w:val="center"/>
          </w:tcPr>
          <w:p>
            <w:pPr>
              <w:pStyle w:val="33"/>
              <w:rPr>
                <w:szCs w:val="18"/>
              </w:rPr>
            </w:pPr>
            <w:bookmarkStart w:id="9" w:name="软件版本"/>
            <w:r>
              <w:rPr>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pPr>
            <w:r>
              <w:rPr>
                <w:rFonts w:hint="eastAsia"/>
              </w:rPr>
              <w:t>研发单位</w:t>
            </w:r>
          </w:p>
        </w:tc>
        <w:tc>
          <w:tcPr>
            <w:tcW w:w="3780" w:type="dxa"/>
            <w:vAlign w:val="center"/>
          </w:tcPr>
          <w:p>
            <w:pPr>
              <w:pStyle w:val="33"/>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pPr>
            <w:r>
              <w:rPr>
                <w:rFonts w:hint="eastAsia"/>
              </w:rPr>
              <w:t>正版授权码</w:t>
            </w:r>
          </w:p>
        </w:tc>
        <w:tc>
          <w:tcPr>
            <w:tcW w:w="3780" w:type="dxa"/>
            <w:vAlign w:val="center"/>
          </w:tcPr>
          <w:p>
            <w:pPr>
              <w:pStyle w:val="33"/>
              <w:rPr>
                <w:szCs w:val="18"/>
              </w:rPr>
            </w:pPr>
            <w:bookmarkStart w:id="10" w:name="正版授权码"/>
            <w:r>
              <w:t>T17637328916</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pPr>
            <w:r>
              <w:rPr>
                <w:rFonts w:hint="eastAsia"/>
              </w:rPr>
              <w:t>服务热线</w:t>
            </w:r>
          </w:p>
        </w:tc>
        <w:tc>
          <w:tcPr>
            <w:tcW w:w="3780" w:type="dxa"/>
            <w:vAlign w:val="center"/>
          </w:tcPr>
          <w:p>
            <w:pPr>
              <w:pStyle w:val="33"/>
              <w:rPr>
                <w:szCs w:val="18"/>
              </w:rPr>
            </w:pPr>
            <w:r>
              <w:rPr>
                <w:rFonts w:hint="eastAsia"/>
                <w:color w:val="000000"/>
                <w:shd w:val="clear" w:color="auto" w:fill="FFFFFF"/>
              </w:rPr>
              <w:t>400-094-1228</w:t>
            </w:r>
          </w:p>
        </w:tc>
      </w:tr>
    </w:tbl>
    <w:p>
      <w:pPr>
        <w:rPr>
          <w:rFonts w:ascii="黑体" w:hAnsi="黑体" w:eastAsia="黑体"/>
          <w:b/>
          <w:bCs/>
          <w:sz w:val="30"/>
          <w:szCs w:val="32"/>
        </w:rPr>
      </w:pPr>
    </w:p>
    <w:p>
      <w:pPr>
        <w:rPr>
          <w:rFonts w:ascii="黑体" w:hAnsi="黑体" w:eastAsia="黑体"/>
          <w:b/>
          <w:bCs/>
          <w:sz w:val="30"/>
          <w:szCs w:val="32"/>
        </w:rPr>
      </w:pPr>
    </w:p>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11" w:name="目录"/>
      <w:r>
        <w:rPr>
          <w:rFonts w:hint="eastAsia"/>
          <w:sz w:val="28"/>
          <w:szCs w:val="28"/>
        </w:rPr>
        <w:t>目  录</w:t>
      </w:r>
    </w:p>
    <w:p>
      <w:pPr>
        <w:pStyle w:val="17"/>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_Toc16227 </w:instrText>
      </w:r>
      <w:r>
        <w:rPr>
          <w:szCs w:val="28"/>
        </w:rPr>
        <w:fldChar w:fldCharType="separate"/>
      </w:r>
      <w:r>
        <w:rPr>
          <w:rFonts w:hint="eastAsia"/>
        </w:rPr>
        <w:t>1. 建筑概况</w:t>
      </w:r>
      <w:r>
        <w:tab/>
      </w:r>
      <w:r>
        <w:fldChar w:fldCharType="begin"/>
      </w:r>
      <w:r>
        <w:instrText xml:space="preserve"> PAGEREF _Toc16227 \h </w:instrText>
      </w:r>
      <w:r>
        <w:fldChar w:fldCharType="separate"/>
      </w:r>
      <w:r>
        <w:t>3</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_Toc6644 </w:instrText>
      </w:r>
      <w:r>
        <w:rPr>
          <w:szCs w:val="28"/>
        </w:rPr>
        <w:fldChar w:fldCharType="separate"/>
      </w:r>
      <w:r>
        <w:rPr>
          <w:rFonts w:hint="eastAsia"/>
        </w:rPr>
        <w:t>2. 分析目的</w:t>
      </w:r>
      <w:r>
        <w:tab/>
      </w:r>
      <w:r>
        <w:fldChar w:fldCharType="begin"/>
      </w:r>
      <w:r>
        <w:instrText xml:space="preserve"> PAGEREF _Toc6644 \h </w:instrText>
      </w:r>
      <w:r>
        <w:fldChar w:fldCharType="separate"/>
      </w:r>
      <w:r>
        <w:t>3</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_Toc9810 </w:instrText>
      </w:r>
      <w:r>
        <w:rPr>
          <w:szCs w:val="28"/>
        </w:rPr>
        <w:fldChar w:fldCharType="separate"/>
      </w:r>
      <w:r>
        <w:rPr>
          <w:rFonts w:hint="eastAsia"/>
        </w:rPr>
        <w:t>3. 分析依据</w:t>
      </w:r>
      <w:r>
        <w:tab/>
      </w:r>
      <w:r>
        <w:fldChar w:fldCharType="begin"/>
      </w:r>
      <w:r>
        <w:instrText xml:space="preserve"> PAGEREF _Toc9810 \h </w:instrText>
      </w:r>
      <w:r>
        <w:fldChar w:fldCharType="separate"/>
      </w:r>
      <w:r>
        <w:t>3</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_Toc8505 </w:instrText>
      </w:r>
      <w:r>
        <w:rPr>
          <w:szCs w:val="28"/>
        </w:rPr>
        <w:fldChar w:fldCharType="separate"/>
      </w:r>
      <w:r>
        <w:rPr>
          <w:rFonts w:hint="eastAsia"/>
          <w:lang w:val="en-GB"/>
        </w:rPr>
        <w:t xml:space="preserve">3.1 </w:t>
      </w:r>
      <w:r>
        <w:rPr>
          <w:rFonts w:hint="eastAsia"/>
        </w:rPr>
        <w:t>评价依据</w:t>
      </w:r>
      <w:r>
        <w:tab/>
      </w:r>
      <w:r>
        <w:fldChar w:fldCharType="begin"/>
      </w:r>
      <w:r>
        <w:instrText xml:space="preserve"> PAGEREF _Toc8505 \h </w:instrText>
      </w:r>
      <w:r>
        <w:fldChar w:fldCharType="separate"/>
      </w:r>
      <w:r>
        <w:t>3</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_Toc13295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_Toc13295 \h </w:instrText>
      </w:r>
      <w:r>
        <w:fldChar w:fldCharType="separate"/>
      </w:r>
      <w:r>
        <w:t>3</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_Toc1856 </w:instrText>
      </w:r>
      <w:r>
        <w:rPr>
          <w:szCs w:val="28"/>
        </w:rPr>
        <w:fldChar w:fldCharType="separate"/>
      </w:r>
      <w:r>
        <w:rPr>
          <w:rFonts w:hint="eastAsia"/>
        </w:rPr>
        <w:t>4. 应用软件与计算方法</w:t>
      </w:r>
      <w:r>
        <w:tab/>
      </w:r>
      <w:r>
        <w:fldChar w:fldCharType="begin"/>
      </w:r>
      <w:r>
        <w:instrText xml:space="preserve"> PAGEREF _Toc1856 \h </w:instrText>
      </w:r>
      <w:r>
        <w:fldChar w:fldCharType="separate"/>
      </w:r>
      <w:r>
        <w:t>4</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_Toc27107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_Toc27107 \h </w:instrText>
      </w:r>
      <w:r>
        <w:fldChar w:fldCharType="separate"/>
      </w:r>
      <w:r>
        <w:t>4</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_Toc28516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_Toc28516 \h </w:instrText>
      </w:r>
      <w:r>
        <w:fldChar w:fldCharType="separate"/>
      </w:r>
      <w:r>
        <w:t>4</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_Toc19729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_Toc19729 \h </w:instrText>
      </w:r>
      <w:r>
        <w:fldChar w:fldCharType="separate"/>
      </w:r>
      <w:r>
        <w:t>5</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_Toc17965 </w:instrText>
      </w:r>
      <w:r>
        <w:rPr>
          <w:szCs w:val="28"/>
        </w:rPr>
        <w:fldChar w:fldCharType="separate"/>
      </w:r>
      <w:r>
        <w:rPr>
          <w:rFonts w:hint="eastAsia"/>
        </w:rPr>
        <w:t>5. 计算参数选用</w:t>
      </w:r>
      <w:r>
        <w:tab/>
      </w:r>
      <w:r>
        <w:fldChar w:fldCharType="begin"/>
      </w:r>
      <w:r>
        <w:instrText xml:space="preserve"> PAGEREF _Toc17965 \h </w:instrText>
      </w:r>
      <w:r>
        <w:fldChar w:fldCharType="separate"/>
      </w:r>
      <w:r>
        <w:t>5</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_Toc20066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_Toc20066 \h </w:instrText>
      </w:r>
      <w:r>
        <w:fldChar w:fldCharType="separate"/>
      </w:r>
      <w:r>
        <w:t>5</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_Toc7509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_Toc7509 \h </w:instrText>
      </w:r>
      <w:r>
        <w:fldChar w:fldCharType="separate"/>
      </w:r>
      <w:r>
        <w:t>6</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_Toc29500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_Toc29500 \h </w:instrText>
      </w:r>
      <w:r>
        <w:fldChar w:fldCharType="separate"/>
      </w:r>
      <w:r>
        <w:t>6</w:t>
      </w:r>
      <w:r>
        <w:fldChar w:fldCharType="end"/>
      </w:r>
      <w:r>
        <w:rPr>
          <w:szCs w:val="28"/>
        </w:rPr>
        <w:fldChar w:fldCharType="end"/>
      </w:r>
    </w:p>
    <w:p>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_Toc31988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_Toc31988 \h </w:instrText>
      </w:r>
      <w:r>
        <w:fldChar w:fldCharType="separate"/>
      </w:r>
      <w:r>
        <w:t>6</w:t>
      </w:r>
      <w:r>
        <w:fldChar w:fldCharType="end"/>
      </w:r>
      <w:r>
        <w:rPr>
          <w:szCs w:val="28"/>
        </w:rPr>
        <w:fldChar w:fldCharType="end"/>
      </w:r>
    </w:p>
    <w:p>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_Toc629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_Toc629 \h </w:instrText>
      </w:r>
      <w:r>
        <w:fldChar w:fldCharType="separate"/>
      </w:r>
      <w:r>
        <w:t>7</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_Toc31524 </w:instrText>
      </w:r>
      <w:r>
        <w:rPr>
          <w:szCs w:val="28"/>
        </w:rPr>
        <w:fldChar w:fldCharType="separate"/>
      </w:r>
      <w:r>
        <w:rPr>
          <w:rFonts w:hint="eastAsia"/>
        </w:rPr>
        <w:t>6. 分析结果展示</w:t>
      </w:r>
      <w:r>
        <w:tab/>
      </w:r>
      <w:r>
        <w:fldChar w:fldCharType="begin"/>
      </w:r>
      <w:r>
        <w:instrText xml:space="preserve"> PAGEREF _Toc31524 \h </w:instrText>
      </w:r>
      <w:r>
        <w:fldChar w:fldCharType="separate"/>
      </w:r>
      <w:r>
        <w:t>7</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_Toc25078 </w:instrText>
      </w:r>
      <w:r>
        <w:rPr>
          <w:szCs w:val="28"/>
        </w:rPr>
        <w:fldChar w:fldCharType="separate"/>
      </w:r>
      <w:r>
        <w:rPr>
          <w:rFonts w:hint="eastAsia"/>
        </w:rPr>
        <w:t>7. 评价结论</w:t>
      </w:r>
      <w:r>
        <w:tab/>
      </w:r>
      <w:r>
        <w:fldChar w:fldCharType="begin"/>
      </w:r>
      <w:r>
        <w:instrText xml:space="preserve"> PAGEREF _Toc25078 \h </w:instrText>
      </w:r>
      <w:r>
        <w:fldChar w:fldCharType="separate"/>
      </w:r>
      <w:r>
        <w:t>7</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_Toc13715 </w:instrText>
      </w:r>
      <w:r>
        <w:rPr>
          <w:szCs w:val="28"/>
        </w:rPr>
        <w:fldChar w:fldCharType="separate"/>
      </w:r>
      <w:r>
        <w:rPr>
          <w:rFonts w:hint="eastAsia" w:ascii="黑体" w:hAnsi="黑体" w:eastAsia="黑体"/>
          <w:szCs w:val="24"/>
          <w:lang w:val="en-US"/>
        </w:rPr>
        <w:t>附件一：项目主要附图</w:t>
      </w:r>
      <w:r>
        <w:tab/>
      </w:r>
      <w:r>
        <w:fldChar w:fldCharType="begin"/>
      </w:r>
      <w:r>
        <w:instrText xml:space="preserve"> PAGEREF _Toc13715 \h </w:instrText>
      </w:r>
      <w:r>
        <w:fldChar w:fldCharType="separate"/>
      </w:r>
      <w:r>
        <w:t>9</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ind w:left="432" w:hanging="432"/>
      </w:pPr>
      <w:bookmarkStart w:id="12" w:name="_Toc16227"/>
      <w:r>
        <w:rPr>
          <w:rFonts w:hint="eastAsia"/>
        </w:rPr>
        <w:t>建筑概况</w:t>
      </w:r>
      <w:bookmarkEnd w:id="12"/>
    </w:p>
    <w:tbl>
      <w:tblPr>
        <w:tblStyle w:val="19"/>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63"/>
        <w:gridCol w:w="1653"/>
        <w:gridCol w:w="22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lang w:val="en-US"/>
              </w:rPr>
              <w:t>项目所在地</w:t>
            </w:r>
          </w:p>
        </w:tc>
        <w:tc>
          <w:tcPr>
            <w:tcW w:w="6624" w:type="dxa"/>
            <w:gridSpan w:val="3"/>
          </w:tcPr>
          <w:p>
            <w:pPr>
              <w:rPr>
                <w:lang w:val="en-US"/>
              </w:rPr>
            </w:pPr>
            <w:bookmarkStart w:id="13" w:name="项目地点"/>
            <w:r>
              <w:t>长沙</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lang w:val="en-US"/>
              </w:rPr>
              <w:t>光气候分区</w:t>
            </w:r>
          </w:p>
        </w:tc>
        <w:tc>
          <w:tcPr>
            <w:tcW w:w="2763" w:type="dxa"/>
          </w:tcPr>
          <w:p>
            <w:pPr>
              <w:rPr>
                <w:lang w:val="en-US"/>
              </w:rPr>
            </w:pPr>
            <w:bookmarkStart w:id="14" w:name="光气候分区"/>
            <w:r>
              <w:t>III</w:t>
            </w:r>
            <w:bookmarkEnd w:id="14"/>
          </w:p>
        </w:tc>
        <w:tc>
          <w:tcPr>
            <w:tcW w:w="1653" w:type="dxa"/>
            <w:shd w:val="clear" w:color="auto" w:fill="E7E6E6"/>
          </w:tcPr>
          <w:p>
            <w:pPr>
              <w:rPr>
                <w:lang w:val="en-US"/>
              </w:rPr>
            </w:pPr>
            <w:r>
              <w:rPr>
                <w:rFonts w:hint="eastAsia"/>
                <w:lang w:val="en-US"/>
              </w:rPr>
              <w:t>光气候系数K</w:t>
            </w:r>
          </w:p>
        </w:tc>
        <w:tc>
          <w:tcPr>
            <w:tcW w:w="2208" w:type="dxa"/>
          </w:tcPr>
          <w:p>
            <w:pPr>
              <w:rPr>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6" w:name="地上建筑面积"/>
            <w:r>
              <w:t>18039.69</w:t>
            </w:r>
            <w:bookmarkEnd w:id="16"/>
            <w:r>
              <w:rPr>
                <w:rFonts w:hint="eastAsia"/>
              </w:rPr>
              <w:t>㎡</w:t>
            </w:r>
            <w:r>
              <w:rPr>
                <w:rFonts w:hint="eastAsia"/>
                <w:lang w:val="en-US"/>
              </w:rPr>
              <w:t xml:space="preserve">    地下  </w:t>
            </w:r>
            <w:bookmarkStart w:id="17" w:name="地下建筑面积"/>
            <w:r>
              <w:t>796.42</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8" w:name="地上建筑层数"/>
            <w:r>
              <w:t>6</w:t>
            </w:r>
            <w:bookmarkEnd w:id="18"/>
            <w:r>
              <w:rPr>
                <w:rFonts w:hint="eastAsia"/>
                <w:lang w:val="en-US"/>
              </w:rPr>
              <w:t xml:space="preserve">          地下 </w:t>
            </w:r>
            <w:bookmarkStart w:id="19" w:name="地下建筑层数"/>
            <w:r>
              <w:t>1</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20" w:name="地上建筑高度"/>
            <w:r>
              <w:t>26.10</w:t>
            </w:r>
            <w:bookmarkEnd w:id="20"/>
            <w:r>
              <w:rPr>
                <w:rFonts w:hint="eastAsia"/>
                <w:lang w:val="en-US"/>
              </w:rPr>
              <w:t xml:space="preserve"> m     地下  </w:t>
            </w:r>
            <w:bookmarkStart w:id="21" w:name="地下建筑高度"/>
            <w:r>
              <w:t>3.00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rPr>
              <w:t>备注</w:t>
            </w:r>
          </w:p>
        </w:tc>
        <w:tc>
          <w:tcPr>
            <w:tcW w:w="6624" w:type="dxa"/>
            <w:gridSpan w:val="3"/>
          </w:tcPr>
          <w:p>
            <w:pPr>
              <w:rPr>
                <w:lang w:val="en-US"/>
              </w:rPr>
            </w:pPr>
            <w:bookmarkStart w:id="22" w:name="备注"/>
            <w:bookmarkEnd w:id="22"/>
          </w:p>
        </w:tc>
      </w:tr>
    </w:tbl>
    <w:p>
      <w:pPr>
        <w:pStyle w:val="33"/>
        <w:rPr>
          <w:lang w:val="en-US"/>
        </w:rPr>
      </w:pPr>
    </w:p>
    <w:p>
      <w:pPr>
        <w:pStyle w:val="2"/>
        <w:ind w:left="432" w:hanging="432"/>
      </w:pPr>
      <w:bookmarkStart w:id="23" w:name="_Toc6644"/>
      <w:r>
        <w:rPr>
          <w:rFonts w:hint="eastAsia"/>
        </w:rPr>
        <w:t>分析目的</w:t>
      </w:r>
      <w:bookmarkEnd w:id="23"/>
    </w:p>
    <w:p>
      <w:pPr>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ind w:firstLine="420" w:firstLineChars="200"/>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4" w:name="工程名称1"/>
      <w:r>
        <w:rPr>
          <w:rFonts w:hint="eastAsia"/>
          <w:u w:val="single"/>
        </w:rPr>
        <w:t>长沙新能源大楼</w:t>
      </w:r>
      <w:bookmarkEnd w:id="24"/>
      <w:r>
        <w:rPr>
          <w:rFonts w:hint="eastAsia"/>
          <w:u w:val="single"/>
        </w:rPr>
        <w:t xml:space="preserve">  </w:t>
      </w:r>
      <w:r>
        <w:rPr>
          <w:rFonts w:hint="eastAsia"/>
        </w:rPr>
        <w:t>的地下空间进行采光模拟，分析该地下室空间的采光状况并给出绿色建筑评估所需要的评价分值。</w:t>
      </w:r>
    </w:p>
    <w:p>
      <w:pPr>
        <w:pStyle w:val="2"/>
        <w:ind w:left="432" w:hanging="432"/>
      </w:pPr>
      <w:bookmarkStart w:id="25" w:name="_Toc9810"/>
      <w:r>
        <w:rPr>
          <w:rFonts w:hint="eastAsia"/>
        </w:rPr>
        <w:t>分析依据</w:t>
      </w:r>
      <w:bookmarkEnd w:id="25"/>
    </w:p>
    <w:p>
      <w:pPr>
        <w:pStyle w:val="4"/>
      </w:pPr>
      <w:bookmarkStart w:id="26" w:name="_Toc8505"/>
      <w:r>
        <w:rPr>
          <w:rFonts w:hint="eastAsia"/>
        </w:rPr>
        <w:t>评价依据</w:t>
      </w:r>
      <w:bookmarkEnd w:id="26"/>
    </w:p>
    <w:p>
      <w:pPr>
        <w:numPr>
          <w:ilvl w:val="0"/>
          <w:numId w:val="2"/>
        </w:numPr>
        <w:rPr>
          <w:lang w:val="en-US"/>
        </w:rPr>
      </w:pPr>
      <w:r>
        <w:rPr>
          <w:lang w:val="en-US"/>
        </w:rPr>
        <w:t>《绿色建筑评价标准》GB/T 50378-2019</w:t>
      </w:r>
    </w:p>
    <w:p>
      <w:pPr>
        <w:numPr>
          <w:ilvl w:val="0"/>
          <w:numId w:val="2"/>
        </w:numPr>
        <w:rPr>
          <w:lang w:val="en-US"/>
        </w:rPr>
      </w:pPr>
      <w:r>
        <w:rPr>
          <w:lang w:val="en-US"/>
        </w:rPr>
        <w:t>《建筑采光设计标准》GB 5003-2013</w:t>
      </w:r>
    </w:p>
    <w:p>
      <w:pPr>
        <w:numPr>
          <w:ilvl w:val="0"/>
          <w:numId w:val="2"/>
        </w:numPr>
        <w:rPr>
          <w:lang w:val="en-US"/>
        </w:rPr>
      </w:pPr>
      <w:r>
        <w:rPr>
          <w:lang w:val="en-US"/>
        </w:rPr>
        <w:t>《绿色建筑评价标准</w:t>
      </w:r>
      <w:r>
        <w:rPr>
          <w:rFonts w:hint="eastAsia"/>
          <w:lang w:val="en-US"/>
        </w:rPr>
        <w:t>技术细则2019</w:t>
      </w:r>
      <w:r>
        <w:rPr>
          <w:lang w:val="en-US"/>
        </w:rPr>
        <w:t>》</w:t>
      </w:r>
    </w:p>
    <w:p>
      <w:pPr>
        <w:numPr>
          <w:ilvl w:val="0"/>
          <w:numId w:val="2"/>
        </w:numPr>
        <w:rPr>
          <w:lang w:val="en-US"/>
        </w:rPr>
      </w:pPr>
      <w:r>
        <w:rPr>
          <w:lang w:val="en-US"/>
        </w:rPr>
        <w:t>《采光测量方法》GB/T5699-2017</w:t>
      </w:r>
    </w:p>
    <w:p>
      <w:pPr>
        <w:numPr>
          <w:ilvl w:val="0"/>
          <w:numId w:val="2"/>
        </w:numPr>
        <w:rPr>
          <w:lang w:val="en-US"/>
        </w:rPr>
      </w:pPr>
      <w:r>
        <w:rPr>
          <w:lang w:val="en-US"/>
        </w:rPr>
        <w:t>委托方提供的项目总平面图、建筑设计图纸、设计效果图等图纸资料</w:t>
      </w:r>
    </w:p>
    <w:p>
      <w:pPr>
        <w:numPr>
          <w:ilvl w:val="0"/>
          <w:numId w:val="2"/>
        </w:numPr>
        <w:rPr>
          <w:lang w:val="en-US"/>
        </w:rPr>
      </w:pPr>
      <w:r>
        <w:rPr>
          <w:lang w:val="en-US"/>
        </w:rPr>
        <w:t>委托方提供的其它相关资料</w:t>
      </w:r>
      <w:r>
        <w:rPr>
          <w:rFonts w:hint="eastAsia"/>
          <w:lang w:val="en-US"/>
        </w:rPr>
        <w:t xml:space="preserve"> </w:t>
      </w:r>
    </w:p>
    <w:p>
      <w:pPr>
        <w:pStyle w:val="4"/>
      </w:pPr>
      <w:bookmarkStart w:id="27" w:name="_Toc13295"/>
      <w:r>
        <w:rPr>
          <w:rFonts w:hint="eastAsia"/>
        </w:rPr>
        <w:t>标准要求</w:t>
      </w:r>
      <w:bookmarkEnd w:id="27"/>
    </w:p>
    <w:p>
      <w:pPr>
        <w:ind w:firstLine="420" w:firstLineChars="200"/>
        <w:rPr>
          <w:lang w:val="en-US"/>
        </w:rPr>
      </w:pPr>
      <w:r>
        <w:rPr>
          <w:lang w:val="en-US"/>
        </w:rPr>
        <w:t>本报告以《建筑采光设计标准》GB 50033-2013为计算依据，以</w:t>
      </w:r>
      <w:bookmarkStart w:id="28" w:name="标准名称2"/>
      <w:r>
        <w:rPr>
          <w:lang w:val="en-US"/>
        </w:rPr>
        <w:t>《绿色建筑评价标准》GB/T 50378-2019</w:t>
      </w:r>
      <w:bookmarkEnd w:id="28"/>
      <w:r>
        <w:rPr>
          <w:lang w:val="en-US"/>
        </w:rPr>
        <w:t>为评价依据。</w:t>
      </w:r>
    </w:p>
    <w:p>
      <w:pPr>
        <w:pStyle w:val="13"/>
        <w:spacing w:line="240" w:lineRule="auto"/>
        <w:ind w:firstLine="0" w:firstLineChars="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pPr>
        <w:pStyle w:val="13"/>
        <w:spacing w:line="240" w:lineRule="auto"/>
        <w:ind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pPr>
        <w:pStyle w:val="13"/>
        <w:spacing w:line="240" w:lineRule="auto"/>
        <w:ind w:left="420" w:leftChars="200" w:firstLine="0" w:firstLineChars="0"/>
        <w:jc w:val="left"/>
        <w:rPr>
          <w:rFonts w:ascii="微软雅黑" w:hAnsi="微软雅黑"/>
          <w:sz w:val="21"/>
          <w:szCs w:val="21"/>
        </w:rPr>
      </w:pPr>
    </w:p>
    <w:p>
      <w:pPr>
        <w:pStyle w:val="3"/>
        <w:snapToGrid w:val="0"/>
        <w:spacing w:line="240" w:lineRule="auto"/>
        <w:ind w:firstLine="0" w:firstLineChars="0"/>
        <w:jc w:val="left"/>
        <w:rPr>
          <w:rFonts w:ascii="微软雅黑" w:hAnsi="微软雅黑" w:eastAsia="微软雅黑"/>
          <w:lang w:val="en-US"/>
        </w:rPr>
      </w:pPr>
      <w:r>
        <w:rPr>
          <w:rFonts w:ascii="微软雅黑" w:hAnsi="微软雅黑" w:eastAsia="微软雅黑"/>
          <w:lang w:val="en-US"/>
        </w:rPr>
        <w:t xml:space="preserve">■ </w:t>
      </w:r>
      <w:bookmarkStart w:id="29" w:name="标准名称"/>
      <w:r>
        <w:rPr>
          <w:rFonts w:ascii="微软雅黑" w:hAnsi="微软雅黑" w:eastAsia="微软雅黑"/>
          <w:b/>
          <w:lang w:val="en-US"/>
        </w:rPr>
        <w:t>《绿色建筑评价标准》GB/T 50378-2019</w:t>
      </w:r>
      <w:bookmarkEnd w:id="29"/>
      <w:r>
        <w:rPr>
          <w:rFonts w:hint="eastAsia" w:ascii="微软雅黑" w:hAnsi="微软雅黑" w:eastAsia="微软雅黑"/>
          <w:lang w:val="en-US"/>
        </w:rPr>
        <w:t>规定</w:t>
      </w:r>
      <w:r>
        <w:rPr>
          <w:rFonts w:ascii="微软雅黑" w:hAnsi="微软雅黑" w:eastAsia="微软雅黑"/>
          <w:lang w:val="en-US"/>
        </w:rPr>
        <w:t>：</w:t>
      </w:r>
    </w:p>
    <w:p>
      <w:pPr>
        <w:ind w:firstLine="420" w:firstLineChars="200"/>
      </w:pPr>
      <w:r>
        <w:rPr>
          <w:szCs w:val="21"/>
        </w:rPr>
        <w:t>5. 2. 8-2</w:t>
      </w:r>
      <w:r>
        <w:rPr>
          <w:rFonts w:hint="eastAsia"/>
          <w:szCs w:val="21"/>
        </w:rPr>
        <w:t>地下空间平均采光系数不小于</w:t>
      </w:r>
      <w:r>
        <w:rPr>
          <w:szCs w:val="21"/>
        </w:rPr>
        <w:t xml:space="preserve">0.5% </w:t>
      </w:r>
      <w:r>
        <w:rPr>
          <w:rFonts w:hint="eastAsia"/>
          <w:szCs w:val="21"/>
        </w:rPr>
        <w:t>的面积与地下室首层面积的比例达到</w:t>
      </w:r>
      <w:bookmarkStart w:id="30" w:name="地下采光评价要求"/>
      <w:r>
        <w:rPr>
          <w:szCs w:val="21"/>
        </w:rPr>
        <w:t>10%</w:t>
      </w:r>
      <w:bookmarkEnd w:id="30"/>
      <w:r>
        <w:rPr>
          <w:szCs w:val="21"/>
        </w:rPr>
        <w:t xml:space="preserve"> </w:t>
      </w:r>
      <w:r>
        <w:rPr>
          <w:rFonts w:hint="eastAsia"/>
          <w:szCs w:val="21"/>
        </w:rPr>
        <w:t>以上，得</w:t>
      </w:r>
      <w:bookmarkStart w:id="31" w:name="地下采光评价分值"/>
      <w:r>
        <w:rPr>
          <w:szCs w:val="21"/>
        </w:rPr>
        <w:t>3</w:t>
      </w:r>
      <w:bookmarkEnd w:id="31"/>
      <w:r>
        <w:rPr>
          <w:szCs w:val="21"/>
        </w:rPr>
        <w:t xml:space="preserve"> </w:t>
      </w:r>
      <w:r>
        <w:rPr>
          <w:rFonts w:hint="eastAsia"/>
          <w:szCs w:val="21"/>
        </w:rPr>
        <w:t>分；</w:t>
      </w:r>
    </w:p>
    <w:p>
      <w:pPr>
        <w:ind w:left="420" w:leftChars="200"/>
      </w:pPr>
    </w:p>
    <w:p>
      <w:pPr>
        <w:pStyle w:val="13"/>
        <w:spacing w:line="240" w:lineRule="auto"/>
        <w:ind w:firstLine="420"/>
        <w:jc w:val="left"/>
        <w:rPr>
          <w:lang w:val="en-GB"/>
        </w:rPr>
      </w:pPr>
      <w:r>
        <w:rPr>
          <w:rFonts w:hint="eastAsia" w:ascii="微软雅黑" w:hAnsi="微软雅黑"/>
          <w:sz w:val="21"/>
          <w:szCs w:val="21"/>
        </w:rPr>
        <w:t>《绿色建筑评价标准》GB/T 50378-2019条文5</w:t>
      </w:r>
      <w:r>
        <w:rPr>
          <w:rFonts w:ascii="微软雅黑" w:hAnsi="微软雅黑"/>
          <w:sz w:val="21"/>
          <w:szCs w:val="21"/>
        </w:rPr>
        <w:t>.2.8</w:t>
      </w:r>
      <w:r>
        <w:rPr>
          <w:rFonts w:hint="eastAsia" w:ascii="微软雅黑" w:hAnsi="微软雅黑"/>
          <w:sz w:val="21"/>
          <w:szCs w:val="21"/>
        </w:rPr>
        <w:t>要求采光模拟应符合</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w:t>
      </w:r>
      <w:r>
        <w:rPr>
          <w:rFonts w:ascii="微软雅黑" w:hAnsi="微软雅黑"/>
          <w:sz w:val="21"/>
          <w:szCs w:val="21"/>
        </w:rPr>
        <w:t xml:space="preserve">: </w:t>
      </w:r>
      <w:r>
        <w:rPr>
          <w:rFonts w:hint="eastAsia" w:ascii="微软雅黑" w:hAnsi="微软雅黑"/>
          <w:sz w:val="21"/>
          <w:szCs w:val="21"/>
        </w:rPr>
        <w:t>地上建筑模型应包括周边建筑物。</w:t>
      </w:r>
    </w:p>
    <w:p>
      <w:pPr>
        <w:pStyle w:val="2"/>
        <w:ind w:left="432" w:hanging="432"/>
      </w:pPr>
      <w:bookmarkStart w:id="32" w:name="_Toc1856"/>
      <w:r>
        <w:rPr>
          <w:rFonts w:hint="eastAsia"/>
        </w:rPr>
        <w:t>应用软件与计算方法</w:t>
      </w:r>
      <w:bookmarkEnd w:id="32"/>
    </w:p>
    <w:p>
      <w:pPr>
        <w:pStyle w:val="4"/>
      </w:pPr>
      <w:bookmarkStart w:id="33" w:name="_Toc27107"/>
      <w:r>
        <w:t>软件</w:t>
      </w:r>
      <w:r>
        <w:rPr>
          <w:rFonts w:hint="eastAsia"/>
        </w:rPr>
        <w:t>选用</w:t>
      </w:r>
      <w:bookmarkEnd w:id="33"/>
    </w:p>
    <w:p>
      <w:pPr>
        <w:ind w:firstLine="420" w:firstLineChars="200"/>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pPr>
        <w:pStyle w:val="4"/>
      </w:pPr>
      <w:bookmarkStart w:id="34" w:name="_Toc28516"/>
      <w:r>
        <w:rPr>
          <w:rFonts w:hint="eastAsia"/>
        </w:rPr>
        <w:t>计算原理</w:t>
      </w:r>
      <w:bookmarkEnd w:id="34"/>
    </w:p>
    <w:p>
      <w:pPr>
        <w:pStyle w:val="13"/>
        <w:spacing w:line="360" w:lineRule="auto"/>
        <w:ind w:firstLine="420"/>
        <w:rPr>
          <w:b/>
          <w:sz w:val="21"/>
          <w:szCs w:val="21"/>
        </w:rPr>
      </w:pPr>
      <w:r>
        <w:rPr>
          <w:rFonts w:hint="eastAsia"/>
          <w:b/>
          <w:sz w:val="21"/>
          <w:szCs w:val="21"/>
        </w:rPr>
        <w:t xml:space="preserve">■ 采光系数 </w:t>
      </w:r>
    </w:p>
    <w:p>
      <w:pPr>
        <w:ind w:firstLine="420" w:firstLineChars="200"/>
        <w:rPr>
          <w:b/>
        </w:rPr>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ind w:firstLine="420" w:firstLineChars="200"/>
      </w:pPr>
      <w:r>
        <w:drawing>
          <wp:inline distT="0" distB="0" distL="114300" distR="114300">
            <wp:extent cx="1073150" cy="445135"/>
            <wp:effectExtent l="0" t="0" r="0" b="1270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73150" cy="445135"/>
                    </a:xfrm>
                    <a:prstGeom prst="rect">
                      <a:avLst/>
                    </a:prstGeom>
                    <a:noFill/>
                    <a:ln>
                      <a:noFill/>
                    </a:ln>
                  </pic:spPr>
                </pic:pic>
              </a:graphicData>
            </a:graphic>
          </wp:inline>
        </w:drawing>
      </w:r>
    </w:p>
    <w:p>
      <w:pPr>
        <w:ind w:left="420" w:leftChars="200"/>
      </w:pPr>
      <w:r>
        <w:t>式中:  En—室内照度；</w:t>
      </w:r>
    </w:p>
    <w:p>
      <w:pPr>
        <w:ind w:left="420" w:leftChars="200" w:firstLine="630" w:firstLineChars="300"/>
      </w:pPr>
      <w:r>
        <w:t>Ew—室外照度。</w:t>
      </w:r>
    </w:p>
    <w:p>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pPr>
        <w:ind w:firstLine="420" w:firstLineChars="200"/>
      </w:pPr>
      <w:r>
        <w:t>通常按单个房间计算平均采光系数，即房间内划分网格上各个交点上的采光系数算术平均值。</w:t>
      </w:r>
    </w:p>
    <w:p>
      <w:pPr>
        <w:ind w:firstLine="420" w:firstLineChars="200"/>
        <w:rPr>
          <w:rFonts w:ascii="Times New Roman" w:hAnsi="Times New Roman"/>
          <w:b/>
        </w:rPr>
      </w:pPr>
      <w:r>
        <w:rPr>
          <w:rFonts w:ascii="Times New Roman" w:hAnsi="Times New Roman"/>
          <w:b/>
        </w:rPr>
        <w:t>■ 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pPr>
        <w:ind w:firstLine="420" w:firstLineChars="200"/>
      </w:pPr>
      <w:r>
        <w:t>地下空间平均采光系数≥0.5%的面积与首层地下室面积的比例，即计算首层地下房间各网格点上的采光系数，统计平均采光系数不小于0.5%部分的面积，该面积与首层地下室总面积之比。</w:t>
      </w:r>
    </w:p>
    <w:p>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w:t>
      </w:r>
      <w:r>
        <w:rPr>
          <w:rFonts w:hint="eastAsia" w:ascii="微软雅黑" w:hAnsi="微软雅黑"/>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pPr>
        <w:pStyle w:val="4"/>
      </w:pPr>
      <w:bookmarkStart w:id="35" w:name="_Toc19729"/>
      <w:bookmarkStart w:id="36" w:name="_Toc275165387"/>
      <w:bookmarkStart w:id="37" w:name="_Toc264569237"/>
      <w:bookmarkStart w:id="38" w:name="_Toc312399796"/>
      <w:bookmarkStart w:id="39" w:name="_Toc290209317"/>
      <w:bookmarkStart w:id="40" w:name="_Toc290209341"/>
      <w:bookmarkStart w:id="41" w:name="_Toc264043630"/>
      <w:bookmarkStart w:id="42" w:name="_Toc290149059"/>
      <w:r>
        <w:rPr>
          <w:rFonts w:hint="eastAsia"/>
        </w:rPr>
        <w:t>计算方法</w:t>
      </w:r>
      <w:bookmarkEnd w:id="35"/>
    </w:p>
    <w:p>
      <w:pPr>
        <w:ind w:firstLine="420" w:firstLineChars="200"/>
        <w:rPr>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6"/>
      <w:bookmarkEnd w:id="37"/>
      <w:bookmarkEnd w:id="38"/>
      <w:bookmarkEnd w:id="39"/>
      <w:bookmarkEnd w:id="40"/>
      <w:bookmarkEnd w:id="41"/>
      <w:bookmarkEnd w:id="42"/>
    </w:p>
    <w:p>
      <w:pPr>
        <w:pStyle w:val="2"/>
        <w:ind w:left="432" w:hanging="432"/>
      </w:pPr>
      <w:bookmarkStart w:id="43" w:name="_Toc17965"/>
      <w:r>
        <w:rPr>
          <w:rFonts w:hint="eastAsia"/>
        </w:rPr>
        <w:t>计算参数选用</w:t>
      </w:r>
      <w:bookmarkEnd w:id="43"/>
    </w:p>
    <w:p>
      <w:pPr>
        <w:pStyle w:val="4"/>
      </w:pPr>
      <w:bookmarkStart w:id="44" w:name="_Toc20066"/>
      <w:r>
        <w:rPr>
          <w:rFonts w:hint="eastAsia"/>
        </w:rPr>
        <w:t>模拟条件</w:t>
      </w:r>
      <w:bookmarkEnd w:id="44"/>
    </w:p>
    <w:p>
      <w:pPr>
        <w:pStyle w:val="13"/>
        <w:adjustRightInd w:val="0"/>
        <w:spacing w:line="240" w:lineRule="auto"/>
        <w:ind w:firstLine="420"/>
        <w:rPr>
          <w:sz w:val="21"/>
          <w:szCs w:val="21"/>
        </w:rPr>
      </w:pPr>
      <w:r>
        <w:rPr>
          <w:rFonts w:hint="eastAsia"/>
          <w:b/>
          <w:sz w:val="21"/>
          <w:szCs w:val="21"/>
        </w:rPr>
        <w:t>天空状态：</w:t>
      </w:r>
      <w:r>
        <w:rPr>
          <w:rFonts w:hint="eastAsia" w:ascii="微软雅黑" w:hAnsi="微软雅黑"/>
          <w:sz w:val="21"/>
          <w:szCs w:val="21"/>
        </w:rPr>
        <w:t>CIE全阴天天空</w:t>
      </w:r>
    </w:p>
    <w:p>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adjustRightInd w:val="0"/>
              <w:jc w:val="center"/>
            </w:pPr>
            <w:r>
              <w:rPr>
                <w:rFonts w:hint="eastAsia"/>
              </w:rPr>
              <w:t>房间面积(m2)</w:t>
            </w:r>
          </w:p>
        </w:tc>
        <w:tc>
          <w:tcPr>
            <w:tcW w:w="3272" w:type="dxa"/>
            <w:shd w:val="clear" w:color="auto" w:fill="E6E6E6"/>
            <w:vAlign w:val="center"/>
          </w:tcPr>
          <w:p>
            <w:pPr>
              <w:adjustRightInd w:val="0"/>
              <w:jc w:val="center"/>
            </w:pPr>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jc w:val="center"/>
            </w:pPr>
            <w:r>
              <w:rPr>
                <w:rFonts w:hint="eastAsia"/>
              </w:rPr>
              <w:t>≤</w:t>
            </w:r>
            <w:bookmarkStart w:id="45" w:name="网格划分小房间面积"/>
            <w:r>
              <w:rPr>
                <w:rFonts w:hint="eastAsia"/>
              </w:rPr>
              <w:t>10</w:t>
            </w:r>
            <w:bookmarkEnd w:id="45"/>
          </w:p>
        </w:tc>
        <w:tc>
          <w:tcPr>
            <w:tcW w:w="3272" w:type="dxa"/>
            <w:shd w:val="clear" w:color="auto" w:fill="auto"/>
            <w:vAlign w:val="center"/>
          </w:tcPr>
          <w:p>
            <w:pPr>
              <w:adjustRightInd w:val="0"/>
              <w:jc w:val="center"/>
            </w:pPr>
            <w:bookmarkStart w:id="46" w:name="小房间网格大小"/>
            <w:r>
              <w:rPr>
                <w:rFonts w:hint="eastAsia"/>
              </w:rPr>
              <w:t>0.25</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jc w:val="center"/>
            </w:pPr>
            <w:bookmarkStart w:id="47" w:name="网格划分房间面积"/>
            <w:r>
              <w:rPr>
                <w:rFonts w:hint="eastAsia"/>
              </w:rPr>
              <w:t>10~100</w:t>
            </w:r>
            <w:bookmarkEnd w:id="47"/>
          </w:p>
        </w:tc>
        <w:tc>
          <w:tcPr>
            <w:tcW w:w="3272" w:type="dxa"/>
            <w:shd w:val="clear" w:color="auto" w:fill="auto"/>
            <w:vAlign w:val="center"/>
          </w:tcPr>
          <w:p>
            <w:pPr>
              <w:adjustRightInd w:val="0"/>
              <w:jc w:val="center"/>
            </w:pPr>
            <w:bookmarkStart w:id="48" w:name="网格大小"/>
            <w:r>
              <w:rPr>
                <w:rFonts w:hint="eastAsia"/>
              </w:rPr>
              <w:t>0.50</w:t>
            </w:r>
            <w:bookmarkEnd w:id="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jc w:val="center"/>
            </w:pPr>
            <w:r>
              <w:rPr>
                <w:rFonts w:hint="eastAsia"/>
              </w:rPr>
              <w:t>≥</w:t>
            </w:r>
            <w:bookmarkStart w:id="49" w:name="网格划分大房间面积"/>
            <w:r>
              <w:rPr>
                <w:rFonts w:hint="eastAsia"/>
              </w:rPr>
              <w:t>100</w:t>
            </w:r>
            <w:bookmarkEnd w:id="49"/>
          </w:p>
        </w:tc>
        <w:tc>
          <w:tcPr>
            <w:tcW w:w="3272" w:type="dxa"/>
            <w:shd w:val="clear" w:color="auto" w:fill="auto"/>
            <w:vAlign w:val="center"/>
          </w:tcPr>
          <w:p>
            <w:pPr>
              <w:adjustRightInd w:val="0"/>
              <w:jc w:val="center"/>
            </w:pPr>
            <w:bookmarkStart w:id="50" w:name="大房间网格大小"/>
            <w:r>
              <w:rPr>
                <w:rFonts w:hint="eastAsia"/>
              </w:rPr>
              <w:t>1.00</w:t>
            </w:r>
            <w:bookmarkEnd w:id="50"/>
          </w:p>
        </w:tc>
      </w:tr>
    </w:tbl>
    <w:p>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adjustRightInd w:val="0"/>
        <w:spacing w:line="240" w:lineRule="auto"/>
        <w:ind w:firstLine="420"/>
        <w:rPr>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51" w:name="_Toc7509"/>
      <w:r>
        <w:rPr>
          <w:rFonts w:hint="eastAsia"/>
        </w:rPr>
        <w:t>建筑饰面材料参数</w:t>
      </w:r>
      <w:bookmarkEnd w:id="51"/>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402"/>
        <w:gridCol w:w="2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bottom w:val="single" w:color="auto" w:sz="4" w:space="0"/>
            </w:tcBorders>
            <w:shd w:val="clear" w:color="auto" w:fill="E6E6E6"/>
            <w:vAlign w:val="center"/>
          </w:tcPr>
          <w:p>
            <w:pPr>
              <w:jc w:val="center"/>
            </w:pPr>
            <w:r>
              <w:rPr>
                <w:rFonts w:hint="eastAsia"/>
              </w:rPr>
              <w:t>部位</w:t>
            </w:r>
          </w:p>
        </w:tc>
        <w:tc>
          <w:tcPr>
            <w:tcW w:w="3402" w:type="dxa"/>
            <w:tcBorders>
              <w:top w:val="single" w:color="auto" w:sz="4" w:space="0"/>
              <w:bottom w:val="single" w:color="auto" w:sz="4" w:space="0"/>
            </w:tcBorders>
            <w:shd w:val="clear" w:color="auto" w:fill="E6E6E6"/>
            <w:vAlign w:val="center"/>
          </w:tcPr>
          <w:p>
            <w:pPr>
              <w:jc w:val="center"/>
            </w:pPr>
            <w:r>
              <w:rPr>
                <w:rFonts w:hint="eastAsia"/>
              </w:rPr>
              <w:t>反射比材料设计取值</w:t>
            </w:r>
          </w:p>
        </w:tc>
        <w:tc>
          <w:tcPr>
            <w:tcW w:w="2481" w:type="dxa"/>
            <w:tcBorders>
              <w:top w:val="single" w:color="auto" w:sz="4" w:space="0"/>
              <w:bottom w:val="single" w:color="auto" w:sz="4" w:space="0"/>
            </w:tcBorders>
            <w:shd w:val="clear" w:color="auto" w:fill="E6E6E6"/>
            <w:vAlign w:val="center"/>
          </w:tcPr>
          <w:p>
            <w:pPr>
              <w:jc w:val="cente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pPr>
              <w:jc w:val="center"/>
            </w:pPr>
            <w:r>
              <w:rPr>
                <w:rFonts w:hint="eastAsia"/>
              </w:rPr>
              <w:t>顶棚</w:t>
            </w:r>
          </w:p>
        </w:tc>
        <w:tc>
          <w:tcPr>
            <w:tcW w:w="3402" w:type="dxa"/>
            <w:tcBorders>
              <w:top w:val="single" w:color="auto" w:sz="4" w:space="0"/>
            </w:tcBorders>
            <w:shd w:val="clear" w:color="auto" w:fill="auto"/>
            <w:vAlign w:val="center"/>
          </w:tcPr>
          <w:p>
            <w:pPr>
              <w:jc w:val="center"/>
            </w:pPr>
            <w:bookmarkStart w:id="52" w:name="顶棚反射比"/>
            <w:r>
              <w:rPr>
                <w:rFonts w:hint="eastAsia"/>
              </w:rPr>
              <w:t>0.75</w:t>
            </w:r>
            <w:bookmarkEnd w:id="52"/>
          </w:p>
        </w:tc>
        <w:tc>
          <w:tcPr>
            <w:tcW w:w="2481"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pPr>
              <w:jc w:val="center"/>
            </w:pPr>
            <w:r>
              <w:rPr>
                <w:rFonts w:hint="eastAsia"/>
              </w:rPr>
              <w:t>地面</w:t>
            </w:r>
          </w:p>
        </w:tc>
        <w:tc>
          <w:tcPr>
            <w:tcW w:w="3402" w:type="dxa"/>
            <w:tcBorders>
              <w:top w:val="single" w:color="auto" w:sz="4" w:space="0"/>
            </w:tcBorders>
            <w:shd w:val="clear" w:color="auto" w:fill="auto"/>
            <w:vAlign w:val="center"/>
          </w:tcPr>
          <w:p>
            <w:pPr>
              <w:jc w:val="center"/>
            </w:pPr>
            <w:bookmarkStart w:id="53" w:name="地面反射比"/>
            <w:r>
              <w:rPr>
                <w:rFonts w:hint="eastAsia"/>
              </w:rPr>
              <w:t>0.30</w:t>
            </w:r>
            <w:bookmarkEnd w:id="53"/>
          </w:p>
        </w:tc>
        <w:tc>
          <w:tcPr>
            <w:tcW w:w="2481"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pPr>
              <w:jc w:val="center"/>
            </w:pPr>
            <w:r>
              <w:rPr>
                <w:rFonts w:hint="eastAsia"/>
              </w:rPr>
              <w:t>墙面</w:t>
            </w:r>
          </w:p>
        </w:tc>
        <w:tc>
          <w:tcPr>
            <w:tcW w:w="3402" w:type="dxa"/>
            <w:tcBorders>
              <w:top w:val="single" w:color="auto" w:sz="4" w:space="0"/>
            </w:tcBorders>
            <w:shd w:val="clear" w:color="auto" w:fill="auto"/>
            <w:vAlign w:val="center"/>
          </w:tcPr>
          <w:p>
            <w:pPr>
              <w:jc w:val="center"/>
            </w:pPr>
            <w:bookmarkStart w:id="54" w:name="墙面反射比"/>
            <w:r>
              <w:rPr>
                <w:rFonts w:hint="eastAsia"/>
              </w:rPr>
              <w:t>0.60</w:t>
            </w:r>
            <w:bookmarkEnd w:id="54"/>
          </w:p>
        </w:tc>
        <w:tc>
          <w:tcPr>
            <w:tcW w:w="2481"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pPr>
              <w:jc w:val="center"/>
            </w:pPr>
            <w:r>
              <w:rPr>
                <w:rFonts w:hint="eastAsia"/>
              </w:rPr>
              <w:t>外表面</w:t>
            </w:r>
          </w:p>
        </w:tc>
        <w:tc>
          <w:tcPr>
            <w:tcW w:w="3402" w:type="dxa"/>
            <w:tcBorders>
              <w:top w:val="single" w:color="auto" w:sz="4" w:space="0"/>
            </w:tcBorders>
            <w:shd w:val="clear" w:color="auto" w:fill="auto"/>
            <w:vAlign w:val="center"/>
          </w:tcPr>
          <w:p>
            <w:pPr>
              <w:jc w:val="center"/>
            </w:pPr>
            <w:bookmarkStart w:id="55" w:name="外表面反射比"/>
            <w:r>
              <w:rPr>
                <w:rFonts w:hint="eastAsia"/>
              </w:rPr>
              <w:t>0.30</w:t>
            </w:r>
            <w:bookmarkEnd w:id="55"/>
          </w:p>
        </w:tc>
        <w:tc>
          <w:tcPr>
            <w:tcW w:w="2481" w:type="dxa"/>
            <w:tcBorders>
              <w:top w:val="single" w:color="auto" w:sz="4" w:space="0"/>
            </w:tcBorders>
            <w:shd w:val="clear" w:color="auto" w:fill="auto"/>
            <w:vAlign w:val="center"/>
          </w:tcPr>
          <w:p>
            <w:pPr>
              <w:jc w:val="cente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56" w:name="_Toc29500"/>
      <w:r>
        <w:rPr>
          <w:rFonts w:hint="eastAsia"/>
        </w:rPr>
        <w:t>门窗类型参数</w:t>
      </w:r>
      <w:bookmarkEnd w:id="56"/>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rPr>
          <w:lang w:val="en-US"/>
        </w:rPr>
      </w:pPr>
    </w:p>
    <w:p>
      <w:pPr>
        <w:pStyle w:val="5"/>
      </w:pPr>
      <w:bookmarkStart w:id="57" w:name="_Toc31988"/>
      <w:bookmarkStart w:id="58" w:name="窗"/>
      <w:r>
        <w:t>普通</w:t>
      </w:r>
      <w:r>
        <w:rPr>
          <w:rFonts w:hint="eastAsia"/>
        </w:rPr>
        <w:t>窗</w:t>
      </w:r>
      <w:bookmarkEnd w:id="57"/>
    </w:p>
    <w:bookmarkEnd w:id="5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门窗编号</w:t>
            </w:r>
          </w:p>
        </w:tc>
        <w:tc>
          <w:tcPr>
            <w:shd w:val="clear" w:color="auto" w:fill="E6E6E6"/>
            <w:vAlign w:val="center"/>
          </w:tcPr>
          <w:p>
            <w:pPr>
              <w:jc w:val="center"/>
              <w:rPr>
                <w:sz w:val="21"/>
                <w:szCs w:val="21"/>
              </w:rPr>
            </w:pPr>
            <w:r>
              <w:rPr>
                <w:sz w:val="21"/>
                <w:szCs w:val="21"/>
              </w:rPr>
              <w:t>宽度(mm)</w:t>
            </w:r>
          </w:p>
        </w:tc>
        <w:tc>
          <w:tcPr>
            <w:shd w:val="clear" w:color="auto" w:fill="E6E6E6"/>
            <w:vAlign w:val="center"/>
          </w:tcPr>
          <w:p>
            <w:pPr>
              <w:jc w:val="center"/>
              <w:rPr>
                <w:sz w:val="21"/>
                <w:szCs w:val="21"/>
              </w:rPr>
            </w:pPr>
            <w:r>
              <w:rPr>
                <w:sz w:val="21"/>
                <w:szCs w:val="21"/>
              </w:rPr>
              <w:t>高度(mm)</w:t>
            </w:r>
          </w:p>
        </w:tc>
        <w:tc>
          <w:tcPr>
            <w:shd w:val="clear" w:color="auto" w:fill="E6E6E6"/>
            <w:vAlign w:val="center"/>
          </w:tcPr>
          <w:p>
            <w:pPr>
              <w:jc w:val="center"/>
              <w:rPr>
                <w:sz w:val="21"/>
                <w:szCs w:val="21"/>
              </w:rPr>
            </w:pPr>
            <w:r>
              <w:rPr>
                <w:sz w:val="21"/>
                <w:szCs w:val="21"/>
              </w:rPr>
              <w:t>窗框类型</w:t>
            </w:r>
          </w:p>
        </w:tc>
        <w:tc>
          <w:tcPr>
            <w:shd w:val="clear" w:color="auto" w:fill="E6E6E6"/>
            <w:vAlign w:val="center"/>
          </w:tcPr>
          <w:p>
            <w:pPr>
              <w:jc w:val="center"/>
              <w:rPr>
                <w:sz w:val="21"/>
                <w:szCs w:val="21"/>
              </w:rPr>
            </w:pPr>
            <w:r>
              <w:rPr>
                <w:sz w:val="21"/>
                <w:szCs w:val="21"/>
              </w:rPr>
              <w:t>玻璃类型</w:t>
            </w:r>
          </w:p>
        </w:tc>
        <w:tc>
          <w:tcPr>
            <w:shd w:val="clear" w:color="auto" w:fill="E6E6E6"/>
            <w:vAlign w:val="center"/>
          </w:tcPr>
          <w:p>
            <w:pPr>
              <w:jc w:val="center"/>
              <w:rPr>
                <w:sz w:val="21"/>
                <w:szCs w:val="21"/>
              </w:rPr>
            </w:pPr>
            <w:r>
              <w:rPr>
                <w:sz w:val="21"/>
                <w:szCs w:val="21"/>
              </w:rPr>
              <w:t>可见光透射比</w:t>
            </w:r>
          </w:p>
        </w:tc>
        <w:tc>
          <w:tcPr>
            <w:shd w:val="clear" w:color="auto" w:fill="E6E6E6"/>
            <w:vAlign w:val="center"/>
          </w:tcPr>
          <w:p>
            <w:pPr>
              <w:jc w:val="center"/>
              <w:rPr>
                <w:sz w:val="21"/>
                <w:szCs w:val="21"/>
              </w:rPr>
            </w:pPr>
            <w:r>
              <w:rPr>
                <w:sz w:val="21"/>
                <w:szCs w:val="21"/>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2100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C0615</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C0815</w:t>
            </w:r>
          </w:p>
        </w:tc>
        <w:tc>
          <w:tcPr>
            <w:vAlign w:val="center"/>
          </w:tcPr>
          <w:p>
            <w:pPr>
              <w:jc w:val="center"/>
              <w:rPr>
                <w:sz w:val="21"/>
                <w:szCs w:val="21"/>
              </w:rPr>
            </w:pPr>
            <w:r>
              <w:rPr>
                <w:sz w:val="21"/>
                <w:szCs w:val="21"/>
              </w:rPr>
              <w:t>800</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CellMar>
            <w:top w:w="0" w:type="dxa"/>
            <w:left w:w="108" w:type="dxa"/>
            <w:bottom w:w="0" w:type="dxa"/>
            <w:right w:w="108" w:type="dxa"/>
          </w:tblCellMar>
        </w:tblPrEx>
        <w:tc>
          <w:tcPr>
            <w:vAlign w:val="center"/>
          </w:tcPr>
          <w:p>
            <w:pPr>
              <w:jc w:val="center"/>
              <w:rPr>
                <w:sz w:val="21"/>
                <w:szCs w:val="21"/>
              </w:rPr>
            </w:pPr>
            <w:r>
              <w:rPr>
                <w:sz w:val="21"/>
                <w:szCs w:val="21"/>
              </w:rPr>
              <w:t>C1214</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1400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CellMar>
            <w:top w:w="0" w:type="dxa"/>
            <w:left w:w="108" w:type="dxa"/>
            <w:bottom w:w="0" w:type="dxa"/>
            <w:right w:w="108" w:type="dxa"/>
          </w:tblCellMar>
        </w:tblPrEx>
        <w:tc>
          <w:tcPr>
            <w:vAlign w:val="center"/>
          </w:tcPr>
          <w:p>
            <w:pPr>
              <w:jc w:val="center"/>
              <w:rPr>
                <w:sz w:val="21"/>
                <w:szCs w:val="21"/>
              </w:rPr>
            </w:pPr>
            <w:r>
              <w:rPr>
                <w:sz w:val="21"/>
                <w:szCs w:val="21"/>
              </w:rPr>
              <w:t>C1223</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C1232</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3200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C12480</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C1514</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1400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C1515</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C1523</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C1542</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4200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C1814</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1400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C1823</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C1832</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3200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C18632</w:t>
            </w:r>
          </w:p>
        </w:tc>
        <w:tc>
          <w:tcPr>
            <w:vAlign w:val="center"/>
          </w:tcPr>
          <w:p>
            <w:pPr>
              <w:jc w:val="center"/>
              <w:rPr>
                <w:sz w:val="21"/>
                <w:szCs w:val="21"/>
              </w:rPr>
            </w:pPr>
            <w:r>
              <w:rPr>
                <w:sz w:val="21"/>
                <w:szCs w:val="21"/>
              </w:rPr>
              <w:t>18600</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C2414</w:t>
            </w:r>
          </w:p>
        </w:tc>
        <w:tc>
          <w:tcPr>
            <w:vAlign w:val="center"/>
          </w:tcPr>
          <w:p>
            <w:pPr>
              <w:jc w:val="center"/>
              <w:rPr>
                <w:sz w:val="21"/>
                <w:szCs w:val="21"/>
              </w:rPr>
            </w:pPr>
            <w:r>
              <w:rPr>
                <w:sz w:val="21"/>
                <w:szCs w:val="21"/>
              </w:rPr>
              <w:t>2400</w:t>
            </w:r>
          </w:p>
        </w:tc>
        <w:tc>
          <w:tcPr>
            <w:vAlign w:val="center"/>
          </w:tcPr>
          <w:p>
            <w:pPr>
              <w:jc w:val="center"/>
              <w:rPr>
                <w:sz w:val="21"/>
                <w:szCs w:val="21"/>
              </w:rPr>
            </w:pPr>
            <w:r>
              <w:rPr>
                <w:sz w:val="21"/>
                <w:szCs w:val="21"/>
              </w:rPr>
              <w:t>1400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C2415</w:t>
            </w:r>
          </w:p>
        </w:tc>
        <w:tc>
          <w:tcPr>
            <w:vAlign w:val="center"/>
          </w:tcPr>
          <w:p>
            <w:pPr>
              <w:jc w:val="center"/>
              <w:rPr>
                <w:sz w:val="21"/>
                <w:szCs w:val="21"/>
              </w:rPr>
            </w:pPr>
            <w:r>
              <w:rPr>
                <w:sz w:val="21"/>
                <w:szCs w:val="21"/>
              </w:rPr>
              <w:t>2400</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C2423</w:t>
            </w:r>
          </w:p>
        </w:tc>
        <w:tc>
          <w:tcPr>
            <w:vAlign w:val="center"/>
          </w:tcPr>
          <w:p>
            <w:pPr>
              <w:jc w:val="center"/>
              <w:rPr>
                <w:sz w:val="21"/>
                <w:szCs w:val="21"/>
              </w:rPr>
            </w:pPr>
            <w:r>
              <w:rPr>
                <w:sz w:val="21"/>
                <w:szCs w:val="21"/>
              </w:rPr>
              <w:t>2400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MD12530</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MD1824</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MQ22200</w:t>
            </w:r>
          </w:p>
        </w:tc>
        <w:tc>
          <w:tcPr>
            <w:vAlign w:val="center"/>
          </w:tcPr>
          <w:p>
            <w:pPr>
              <w:jc w:val="center"/>
              <w:rPr>
                <w:sz w:val="21"/>
                <w:szCs w:val="21"/>
              </w:rPr>
            </w:pPr>
            <w:r>
              <w:rPr>
                <w:sz w:val="21"/>
                <w:szCs w:val="21"/>
              </w:rPr>
              <w:t>2200</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bl>
    <w:p>
      <w:pPr>
        <w:rPr>
          <w:lang w:val="en-US"/>
        </w:rPr>
      </w:pPr>
      <w:r>
        <w:rPr>
          <w:lang w:val="en-US"/>
        </w:rPr>
        <w:t>注：计算考虑了外窗玻璃的污染折减系数影响，系数取值0.9。</w:t>
      </w:r>
    </w:p>
    <w:p>
      <w:pPr>
        <w:rPr>
          <w:lang w:val="en-US"/>
        </w:rPr>
      </w:pPr>
    </w:p>
    <w:p>
      <w:pPr>
        <w:pStyle w:val="5"/>
      </w:pPr>
      <w:bookmarkStart w:id="59" w:name="_Toc629"/>
      <w:bookmarkStart w:id="60" w:name="幕墙"/>
      <w:r>
        <w:rPr>
          <w:rFonts w:hint="eastAsia"/>
        </w:rPr>
        <w:t>玻璃幕墙</w:t>
      </w:r>
      <w:bookmarkEnd w:id="59"/>
    </w:p>
    <w:bookmarkEnd w:id="6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门窗编号</w:t>
            </w:r>
          </w:p>
        </w:tc>
        <w:tc>
          <w:tcPr>
            <w:shd w:val="clear" w:color="auto" w:fill="E6E6E6"/>
            <w:vAlign w:val="center"/>
          </w:tcPr>
          <w:p>
            <w:pPr>
              <w:jc w:val="center"/>
              <w:rPr>
                <w:sz w:val="21"/>
                <w:szCs w:val="21"/>
              </w:rPr>
            </w:pPr>
            <w:r>
              <w:rPr>
                <w:sz w:val="21"/>
                <w:szCs w:val="21"/>
              </w:rPr>
              <w:t>宽度(mm)</w:t>
            </w:r>
          </w:p>
        </w:tc>
        <w:tc>
          <w:tcPr>
            <w:shd w:val="clear" w:color="auto" w:fill="E6E6E6"/>
            <w:vAlign w:val="center"/>
          </w:tcPr>
          <w:p>
            <w:pPr>
              <w:jc w:val="center"/>
              <w:rPr>
                <w:sz w:val="21"/>
                <w:szCs w:val="21"/>
              </w:rPr>
            </w:pPr>
            <w:r>
              <w:rPr>
                <w:sz w:val="21"/>
                <w:szCs w:val="21"/>
              </w:rPr>
              <w:t>高度(mm)</w:t>
            </w:r>
          </w:p>
        </w:tc>
        <w:tc>
          <w:tcPr>
            <w:shd w:val="clear" w:color="auto" w:fill="E6E6E6"/>
            <w:vAlign w:val="center"/>
          </w:tcPr>
          <w:p>
            <w:pPr>
              <w:jc w:val="center"/>
              <w:rPr>
                <w:sz w:val="21"/>
                <w:szCs w:val="21"/>
              </w:rPr>
            </w:pPr>
            <w:r>
              <w:rPr>
                <w:sz w:val="21"/>
                <w:szCs w:val="21"/>
              </w:rPr>
              <w:t>窗框类型</w:t>
            </w:r>
          </w:p>
        </w:tc>
        <w:tc>
          <w:tcPr>
            <w:shd w:val="clear" w:color="auto" w:fill="E6E6E6"/>
            <w:vAlign w:val="center"/>
          </w:tcPr>
          <w:p>
            <w:pPr>
              <w:jc w:val="center"/>
              <w:rPr>
                <w:sz w:val="21"/>
                <w:szCs w:val="21"/>
              </w:rPr>
            </w:pPr>
            <w:r>
              <w:rPr>
                <w:sz w:val="21"/>
                <w:szCs w:val="21"/>
              </w:rPr>
              <w:t>玻璃类型</w:t>
            </w:r>
          </w:p>
        </w:tc>
        <w:tc>
          <w:tcPr>
            <w:shd w:val="clear" w:color="auto" w:fill="E6E6E6"/>
            <w:vAlign w:val="center"/>
          </w:tcPr>
          <w:p>
            <w:pPr>
              <w:jc w:val="center"/>
              <w:rPr>
                <w:sz w:val="21"/>
                <w:szCs w:val="21"/>
              </w:rPr>
            </w:pPr>
            <w:r>
              <w:rPr>
                <w:sz w:val="21"/>
                <w:szCs w:val="21"/>
              </w:rPr>
              <w:t>可见光透射比</w:t>
            </w:r>
          </w:p>
        </w:tc>
        <w:tc>
          <w:tcPr>
            <w:shd w:val="clear" w:color="auto" w:fill="E6E6E6"/>
            <w:vAlign w:val="center"/>
          </w:tcPr>
          <w:p>
            <w:pPr>
              <w:jc w:val="center"/>
              <w:rPr>
                <w:sz w:val="21"/>
                <w:szCs w:val="21"/>
              </w:rPr>
            </w:pPr>
            <w:r>
              <w:rPr>
                <w:sz w:val="21"/>
                <w:szCs w:val="21"/>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3900</w:t>
            </w:r>
          </w:p>
        </w:tc>
        <w:tc>
          <w:tcPr>
            <w:vAlign w:val="center"/>
          </w:tcPr>
          <w:p>
            <w:pPr>
              <w:jc w:val="center"/>
              <w:rPr>
                <w:sz w:val="21"/>
                <w:szCs w:val="21"/>
              </w:rPr>
            </w:pPr>
            <w:r>
              <w:rPr>
                <w:sz w:val="21"/>
                <w:szCs w:val="21"/>
              </w:rPr>
              <w:t>单层铝窗</w:t>
            </w:r>
          </w:p>
        </w:tc>
        <w:tc>
          <w:tcPr>
            <w:vAlign w:val="center"/>
          </w:tcPr>
          <w:p>
            <w:pPr>
              <w:jc w:val="center"/>
              <w:rPr>
                <w:sz w:val="21"/>
                <w:szCs w:val="21"/>
              </w:rPr>
            </w:pPr>
            <w:r>
              <w:rPr>
                <w:sz w:val="21"/>
                <w:szCs w:val="21"/>
              </w:rPr>
              <w:t>普通玻璃</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0.08</w:t>
            </w:r>
          </w:p>
        </w:tc>
      </w:tr>
    </w:tbl>
    <w:p>
      <w:pPr>
        <w:rPr>
          <w:lang w:val="en-US"/>
        </w:rPr>
      </w:pPr>
      <w:r>
        <w:rPr>
          <w:lang w:val="en-US"/>
        </w:rPr>
        <w:t>注：计算考虑了外窗玻璃的污染折减系数影响，系数取值0.9。</w:t>
      </w:r>
    </w:p>
    <w:p>
      <w:pPr>
        <w:rPr>
          <w:lang w:val="en-US"/>
        </w:rPr>
      </w:pPr>
    </w:p>
    <w:p>
      <w:pPr>
        <w:rPr>
          <w:lang w:val="en-US"/>
        </w:rPr>
      </w:pPr>
    </w:p>
    <w:p>
      <w:pPr>
        <w:pStyle w:val="3"/>
        <w:ind w:firstLine="0" w:firstLineChars="0"/>
        <w:rPr>
          <w:rFonts w:ascii="宋体" w:hAnsi="宋体"/>
        </w:rPr>
      </w:pPr>
      <w:bookmarkStart w:id="61" w:name="窗污染折减系数"/>
      <w:bookmarkEnd w:id="61"/>
    </w:p>
    <w:p>
      <w:pPr>
        <w:pStyle w:val="2"/>
        <w:ind w:left="432" w:hanging="432"/>
      </w:pPr>
      <w:bookmarkStart w:id="62" w:name="_Toc31524"/>
      <w:r>
        <w:rPr>
          <w:rFonts w:hint="eastAsia"/>
        </w:rPr>
        <w:t>分析结果展示</w:t>
      </w:r>
      <w:bookmarkEnd w:id="62"/>
    </w:p>
    <w:p>
      <w:pPr>
        <w:pStyle w:val="33"/>
        <w:rPr>
          <w:lang w:val="en-US"/>
        </w:rPr>
      </w:pPr>
      <w:bookmarkStart w:id="63" w:name="地下达标图"/>
      <w:bookmarkEnd w:id="63"/>
    </w:p>
    <w:p>
      <w:pPr>
        <w:pStyle w:val="33"/>
        <w:rPr>
          <w:lang w:val="en-US"/>
        </w:rPr>
      </w:pPr>
      <w:r>
        <w:drawing>
          <wp:inline distT="0" distB="0" distL="0" distR="0">
            <wp:extent cx="5667375" cy="18383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8"/>
                    <a:stretch>
                      <a:fillRect/>
                    </a:stretch>
                  </pic:blipFill>
                  <pic:spPr>
                    <a:xfrm>
                      <a:off x="0" y="0"/>
                      <a:ext cx="5667375" cy="1838325"/>
                    </a:xfrm>
                    <a:prstGeom prst="rect">
                      <a:avLst/>
                    </a:prstGeom>
                  </pic:spPr>
                </pic:pic>
              </a:graphicData>
            </a:graphic>
          </wp:inline>
        </w:drawing>
      </w:r>
    </w:p>
    <w:p>
      <w:pPr>
        <w:pStyle w:val="33"/>
        <w:rPr>
          <w:lang w:val="en-US"/>
        </w:rPr>
      </w:pPr>
      <w:r>
        <w:rPr>
          <w:lang w:val="en-US"/>
        </w:rPr>
        <w:t>地下采光达标图</w:t>
      </w:r>
    </w:p>
    <w:p>
      <w:pPr>
        <w:pStyle w:val="33"/>
        <w:rPr>
          <w:lang w:val="en-US"/>
        </w:rPr>
      </w:pPr>
    </w:p>
    <w:p>
      <w:pPr>
        <w:pStyle w:val="2"/>
        <w:ind w:left="432" w:hanging="432"/>
      </w:pPr>
      <w:bookmarkStart w:id="64" w:name="_Toc25078"/>
      <w:r>
        <w:rPr>
          <w:rFonts w:hint="eastAsia"/>
        </w:rPr>
        <w:t>评价结论</w:t>
      </w:r>
      <w:bookmarkEnd w:id="64"/>
    </w:p>
    <w:p>
      <w:pPr>
        <w:ind w:firstLine="420" w:firstLineChars="200"/>
      </w:pPr>
      <w:r>
        <w:t>本项目的地下空间天然采光评价，经应用Dali软件依据《建筑采光设计标准》GB 50033-2013进行采光模拟分析，以及根据</w:t>
      </w:r>
      <w:bookmarkStart w:id="65" w:name="标准名称1"/>
      <w:r>
        <w:t>《绿色建筑评价标准》GB/T 50378-2019</w:t>
      </w:r>
      <w:bookmarkEnd w:id="65"/>
      <w:r>
        <w:t>的5.2.8条款进行评价计算，</w:t>
      </w:r>
      <w:r>
        <w:rPr>
          <w:rFonts w:hint="eastAsia"/>
        </w:rPr>
        <w:t>求得</w:t>
      </w:r>
      <w:r>
        <w:t>地下空间平均采光系数不小于</w:t>
      </w:r>
      <w:bookmarkStart w:id="66" w:name="地下采光要求2"/>
      <w:r>
        <w:t>0.5</w:t>
      </w:r>
      <w:bookmarkEnd w:id="66"/>
      <w:r>
        <w:t>%的面积与首层地下室面积的比例</w:t>
      </w:r>
      <w:r>
        <w:rPr>
          <w:rFonts w:hint="eastAsia"/>
        </w:rPr>
        <w:t>，</w:t>
      </w:r>
      <w: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pPr>
              <w:jc w:val="center"/>
            </w:pPr>
            <w:r>
              <w:t>首层地下室面积（</w:t>
            </w:r>
            <w:r>
              <w:rPr>
                <w:rFonts w:hint="eastAsia" w:ascii="Batang" w:hAnsi="Batang" w:eastAsia="Batang" w:cs="Batang"/>
              </w:rPr>
              <w:t>㎡</w:t>
            </w:r>
            <w:r>
              <w:rPr>
                <w:rFonts w:hint="eastAsia"/>
              </w:rPr>
              <w:t>）</w:t>
            </w:r>
          </w:p>
        </w:tc>
        <w:tc>
          <w:tcPr>
            <w:tcW w:w="3420" w:type="dxa"/>
            <w:shd w:val="clear" w:color="auto" w:fill="E6E6E6"/>
            <w:vAlign w:val="center"/>
          </w:tcPr>
          <w:p>
            <w:pPr>
              <w:jc w:val="center"/>
            </w:pPr>
            <w:r>
              <w:t>平均采光系数≥</w:t>
            </w:r>
            <w:bookmarkStart w:id="67" w:name="地下采光要求"/>
            <w:r>
              <w:t>0.50</w:t>
            </w:r>
            <w:bookmarkEnd w:id="67"/>
            <w:r>
              <w:t>%的面积（</w:t>
            </w:r>
            <w:r>
              <w:rPr>
                <w:rFonts w:hint="eastAsia" w:ascii="Batang" w:hAnsi="Batang" w:eastAsia="Batang" w:cs="Batang"/>
              </w:rPr>
              <w:t>㎡</w:t>
            </w:r>
            <w:r>
              <w:rPr>
                <w:rFonts w:hint="eastAsia"/>
              </w:rPr>
              <w:t>）</w:t>
            </w:r>
          </w:p>
        </w:tc>
        <w:tc>
          <w:tcPr>
            <w:tcW w:w="1980" w:type="dxa"/>
            <w:shd w:val="clear" w:color="auto" w:fill="E6E6E6"/>
            <w:vAlign w:val="center"/>
          </w:tcPr>
          <w:p>
            <w:pPr>
              <w:jc w:val="center"/>
            </w:pPr>
            <w:r>
              <w:t>面积比例RA（%）</w:t>
            </w:r>
          </w:p>
        </w:tc>
        <w:tc>
          <w:tcPr>
            <w:tcW w:w="1260" w:type="dxa"/>
            <w:shd w:val="clear" w:color="auto" w:fill="E6E6E6"/>
            <w:vAlign w:val="center"/>
          </w:tcPr>
          <w:p>
            <w:pPr>
              <w:jc w:val="cente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pPr>
              <w:jc w:val="center"/>
            </w:pPr>
            <w:bookmarkStart w:id="68" w:name="地下采光面积"/>
            <w:r>
              <w:rPr>
                <w:rFonts w:hint="eastAsia"/>
              </w:rPr>
              <w:t>768.17</w:t>
            </w:r>
            <w:bookmarkEnd w:id="68"/>
          </w:p>
        </w:tc>
        <w:tc>
          <w:tcPr>
            <w:tcW w:w="3420" w:type="dxa"/>
            <w:vAlign w:val="center"/>
          </w:tcPr>
          <w:p>
            <w:pPr>
              <w:jc w:val="center"/>
            </w:pPr>
            <w:bookmarkStart w:id="69" w:name="地下达标面积"/>
            <w:r>
              <w:rPr>
                <w:rFonts w:hint="eastAsia"/>
              </w:rPr>
              <w:t>768.17</w:t>
            </w:r>
            <w:bookmarkEnd w:id="69"/>
          </w:p>
        </w:tc>
        <w:tc>
          <w:tcPr>
            <w:tcW w:w="1980" w:type="dxa"/>
            <w:vAlign w:val="center"/>
          </w:tcPr>
          <w:p>
            <w:pPr>
              <w:jc w:val="center"/>
            </w:pPr>
            <w:bookmarkStart w:id="70" w:name="地下采光达标率"/>
            <w:r>
              <w:rPr>
                <w:rFonts w:hint="eastAsia"/>
              </w:rPr>
              <w:t>100</w:t>
            </w:r>
            <w:bookmarkEnd w:id="70"/>
          </w:p>
        </w:tc>
        <w:tc>
          <w:tcPr>
            <w:tcW w:w="1260" w:type="dxa"/>
            <w:vAlign w:val="center"/>
          </w:tcPr>
          <w:p>
            <w:pPr>
              <w:jc w:val="center"/>
            </w:pPr>
            <w:bookmarkStart w:id="71" w:name="地下采光得分"/>
            <w:r>
              <w:rPr>
                <w:rFonts w:hint="eastAsia"/>
              </w:rPr>
              <w:t>3</w:t>
            </w:r>
            <w:bookmarkEnd w:id="71"/>
          </w:p>
        </w:tc>
      </w:tr>
    </w:tbl>
    <w:p>
      <w:pPr>
        <w:pStyle w:val="13"/>
        <w:spacing w:line="360" w:lineRule="auto"/>
        <w:sectPr>
          <w:pgSz w:w="11906" w:h="16838"/>
          <w:pgMar w:top="1440" w:right="1418" w:bottom="1440" w:left="1418" w:header="851" w:footer="992" w:gutter="0"/>
          <w:cols w:space="425" w:num="1"/>
          <w:docGrid w:type="lines" w:linePitch="312" w:charSpace="0"/>
        </w:sectPr>
      </w:pPr>
    </w:p>
    <w:p>
      <w:pPr>
        <w:pStyle w:val="3"/>
        <w:spacing w:line="360" w:lineRule="auto"/>
        <w:ind w:firstLine="0" w:firstLineChars="0"/>
        <w:outlineLvl w:val="0"/>
        <w:rPr>
          <w:rFonts w:ascii="黑体" w:hAnsi="黑体" w:eastAsia="黑体"/>
          <w:b/>
          <w:sz w:val="24"/>
          <w:szCs w:val="24"/>
          <w:lang w:val="en-US"/>
        </w:rPr>
      </w:pPr>
      <w:bookmarkStart w:id="72" w:name="_Toc13715"/>
      <w:r>
        <w:rPr>
          <w:rFonts w:hint="eastAsia" w:ascii="黑体" w:hAnsi="黑体" w:eastAsia="黑体"/>
          <w:b/>
          <w:sz w:val="24"/>
          <w:szCs w:val="24"/>
          <w:lang w:val="en-US"/>
        </w:rPr>
        <w:t>附件一：项目主要附图</w:t>
      </w:r>
      <w:bookmarkEnd w:id="72"/>
    </w:p>
    <w:p>
      <w:pPr>
        <w:pStyle w:val="3"/>
        <w:spacing w:line="360" w:lineRule="auto"/>
        <w:ind w:firstLine="0" w:firstLineChars="0"/>
        <w:rPr>
          <w:rFonts w:ascii="黑体" w:hAnsi="黑体" w:eastAsia="黑体"/>
          <w:b/>
          <w:sz w:val="24"/>
          <w:szCs w:val="24"/>
          <w:lang w:val="en-US"/>
        </w:rPr>
      </w:pPr>
      <w:r>
        <w:rPr>
          <w:rFonts w:hint="eastAsia" w:ascii="黑体" w:hAnsi="黑体" w:eastAsia="黑体"/>
          <w:b/>
          <w:sz w:val="24"/>
          <w:szCs w:val="24"/>
          <w:lang w:val="en-US"/>
        </w:rPr>
        <w:t>1. 总平面图：</w:t>
      </w:r>
    </w:p>
    <w:p>
      <w:pPr>
        <w:pStyle w:val="3"/>
        <w:spacing w:line="240" w:lineRule="auto"/>
        <w:ind w:firstLine="0" w:firstLineChars="0"/>
        <w:jc w:val="center"/>
        <w:rPr>
          <w:rFonts w:ascii="黑体" w:hAnsi="黑体" w:eastAsia="黑体"/>
          <w:b/>
          <w:sz w:val="28"/>
          <w:szCs w:val="28"/>
          <w:lang w:val="en-US"/>
        </w:rPr>
      </w:pPr>
      <w:bookmarkStart w:id="73" w:name="总平面图"/>
      <w:bookmarkEnd w:id="73"/>
    </w:p>
    <w:p>
      <w:pPr>
        <w:pStyle w:val="3"/>
        <w:spacing w:line="240" w:lineRule="auto"/>
        <w:ind w:firstLine="0" w:firstLineChars="0"/>
        <w:rPr>
          <w:rFonts w:ascii="黑体" w:hAnsi="黑体" w:eastAsia="黑体"/>
          <w:b/>
          <w:sz w:val="28"/>
          <w:szCs w:val="28"/>
          <w:lang w:val="en-US"/>
        </w:rPr>
      </w:pPr>
    </w:p>
    <w:p>
      <w:pPr>
        <w:pStyle w:val="3"/>
        <w:spacing w:line="240" w:lineRule="auto"/>
        <w:ind w:firstLine="0" w:firstLineChars="0"/>
        <w:rPr>
          <w:rFonts w:ascii="黑体" w:hAnsi="黑体" w:eastAsia="黑体"/>
          <w:b/>
          <w:sz w:val="24"/>
          <w:szCs w:val="24"/>
          <w:lang w:val="en-US"/>
        </w:rPr>
      </w:pPr>
      <w:r>
        <w:rPr>
          <w:rFonts w:hint="eastAsia" w:ascii="黑体" w:hAnsi="黑体" w:eastAsia="黑体"/>
          <w:b/>
          <w:sz w:val="24"/>
          <w:szCs w:val="24"/>
          <w:lang w:val="en-US"/>
        </w:rPr>
        <w:t>2. 首层地下室平面图：</w:t>
      </w:r>
    </w:p>
    <w:p>
      <w:pPr>
        <w:pStyle w:val="3"/>
        <w:spacing w:line="240" w:lineRule="auto"/>
        <w:ind w:left="482" w:firstLine="0" w:firstLineChars="0"/>
        <w:jc w:val="center"/>
        <w:rPr>
          <w:rFonts w:ascii="宋体" w:hAnsi="宋体"/>
          <w:lang w:val="en-US"/>
        </w:rPr>
      </w:pPr>
      <w:bookmarkStart w:id="74" w:name="首层地下室平面图"/>
      <w:bookmarkEnd w:id="74"/>
      <w:r>
        <w:drawing>
          <wp:inline distT="0" distB="0" distL="0" distR="0">
            <wp:extent cx="5667375" cy="23812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9"/>
                    <a:stretch>
                      <a:fillRect/>
                    </a:stretch>
                  </pic:blipFill>
                  <pic:spPr>
                    <a:xfrm>
                      <a:off x="0" y="0"/>
                      <a:ext cx="5667375" cy="2381250"/>
                    </a:xfrm>
                    <a:prstGeom prst="rect">
                      <a:avLst/>
                    </a:prstGeom>
                  </pic:spPr>
                </pic:pic>
              </a:graphicData>
            </a:graphic>
          </wp:inline>
        </w:drawing>
      </w:r>
    </w:p>
    <w:p>
      <w:pPr>
        <w:pStyle w:val="3"/>
        <w:spacing w:line="240" w:lineRule="auto"/>
        <w:ind w:left="482" w:firstLine="0" w:firstLineChars="0"/>
        <w:jc w:val="center"/>
        <w:rPr>
          <w:rFonts w:ascii="宋体" w:hAnsi="宋体"/>
          <w:lang w:val="en-US"/>
        </w:rPr>
      </w:pPr>
    </w:p>
    <w:p>
      <w:pPr>
        <w:pStyle w:val="3"/>
        <w:spacing w:line="240" w:lineRule="auto"/>
        <w:ind w:left="482" w:firstLine="0" w:firstLineChars="0"/>
        <w:rPr>
          <w:rFonts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pPr>
    <w:r>
      <w:rPr>
        <w:lang w:val="en-US"/>
      </w:rPr>
      <w:drawing>
        <wp:inline distT="0" distB="0" distL="114300" distR="114300">
          <wp:extent cx="977900" cy="254635"/>
          <wp:effectExtent l="0" t="0" r="12700" b="444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
                  <a:stretch>
                    <a:fillRect/>
                  </a:stretch>
                </pic:blipFill>
                <pic:spPr>
                  <a:xfrm>
                    <a:off x="0" y="0"/>
                    <a:ext cx="977900" cy="254635"/>
                  </a:xfrm>
                  <a:prstGeom prst="rect">
                    <a:avLst/>
                  </a:prstGeom>
                  <a:noFill/>
                  <a:ln>
                    <a:noFill/>
                  </a:ln>
                </pic:spPr>
              </pic:pic>
            </a:graphicData>
          </a:graphic>
        </wp:inline>
      </w:drawing>
    </w:r>
    <w:r>
      <w:rPr>
        <w:rFonts w:hint="eastAsia"/>
      </w:rPr>
      <w:t xml:space="preserve">            </w:t>
    </w:r>
    <w:r>
      <w:t xml:space="preserve">                                     </w:t>
    </w:r>
    <w:r>
      <w:rPr>
        <w:rFonts w:hint="eastAsia"/>
      </w:rPr>
      <w:t>地下采光</w:t>
    </w:r>
    <w: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9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B619C"/>
    <w:rsid w:val="00021948"/>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2"/>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14E31"/>
    <w:rsid w:val="0022062D"/>
    <w:rsid w:val="002229C1"/>
    <w:rsid w:val="00224948"/>
    <w:rsid w:val="00241D4E"/>
    <w:rsid w:val="00242864"/>
    <w:rsid w:val="002442BB"/>
    <w:rsid w:val="00244792"/>
    <w:rsid w:val="0025362B"/>
    <w:rsid w:val="002555B8"/>
    <w:rsid w:val="00262B68"/>
    <w:rsid w:val="00265ACC"/>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5A"/>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2192"/>
    <w:rsid w:val="0040698B"/>
    <w:rsid w:val="00406B01"/>
    <w:rsid w:val="00413082"/>
    <w:rsid w:val="004140D8"/>
    <w:rsid w:val="0041750D"/>
    <w:rsid w:val="00420487"/>
    <w:rsid w:val="00420DBF"/>
    <w:rsid w:val="00423856"/>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312C9"/>
    <w:rsid w:val="00531BC0"/>
    <w:rsid w:val="00540858"/>
    <w:rsid w:val="00540B17"/>
    <w:rsid w:val="0054304B"/>
    <w:rsid w:val="005430C1"/>
    <w:rsid w:val="005438CC"/>
    <w:rsid w:val="005449BD"/>
    <w:rsid w:val="00547052"/>
    <w:rsid w:val="00553946"/>
    <w:rsid w:val="00555634"/>
    <w:rsid w:val="00555EF2"/>
    <w:rsid w:val="00560CD5"/>
    <w:rsid w:val="00562B4A"/>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B694A"/>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D2688"/>
    <w:rsid w:val="007E0DA0"/>
    <w:rsid w:val="007E39A8"/>
    <w:rsid w:val="007E3D1F"/>
    <w:rsid w:val="007E46A7"/>
    <w:rsid w:val="007F09EA"/>
    <w:rsid w:val="00800F96"/>
    <w:rsid w:val="00801632"/>
    <w:rsid w:val="008060C3"/>
    <w:rsid w:val="00806523"/>
    <w:rsid w:val="00810B33"/>
    <w:rsid w:val="00815480"/>
    <w:rsid w:val="00816832"/>
    <w:rsid w:val="0083639A"/>
    <w:rsid w:val="00837670"/>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15B5"/>
    <w:rsid w:val="009A6B0F"/>
    <w:rsid w:val="009B0C40"/>
    <w:rsid w:val="009B3769"/>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237"/>
    <w:rsid w:val="00C44808"/>
    <w:rsid w:val="00C45C1D"/>
    <w:rsid w:val="00C47B3E"/>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 w:val="018B619C"/>
    <w:rsid w:val="5B9B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qFormat/>
    <w:uiPriority w:val="0"/>
    <w:pPr>
      <w:pBdr>
        <w:bottom w:val="single" w:color="auto" w:sz="6" w:space="1"/>
      </w:pBdr>
      <w:tabs>
        <w:tab w:val="center" w:pos="4153"/>
        <w:tab w:val="right" w:pos="8306"/>
      </w:tabs>
    </w:p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567"/>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正文文本缩进 字符"/>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字符"/>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qFormat/>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center"/>
    </w:pPr>
    <w:rPr>
      <w:bCs/>
    </w:rPr>
  </w:style>
  <w:style w:type="character" w:customStyle="1" w:styleId="34">
    <w:name w:val="wenbenk Char"/>
    <w:link w:val="33"/>
    <w:qFormat/>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9</Pages>
  <Words>2742</Words>
  <Characters>3554</Characters>
  <Lines>30</Lines>
  <Paragraphs>8</Paragraphs>
  <TotalTime>1</TotalTime>
  <ScaleCrop>false</ScaleCrop>
  <LinksUpToDate>false</LinksUpToDate>
  <CharactersWithSpaces>5069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2024-12-15T09:06:00Z</dcterms:created>
  <dc:creator>CCbester</dc:creator>
  <cp:lastModifiedBy>T。</cp:lastModifiedBy>
  <dcterms:modified xsi:type="dcterms:W3CDTF">2024-12-27T13:28:25Z</dcterms:modified>
  <dc:title>地下室采光分析报告书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DB701075D50546408820E0B2E4D5E2B0_11</vt:lpwstr>
  </property>
  <property fmtid="{D5CDD505-2E9C-101B-9397-08002B2CF9AE}" pid="3" name="KSOProductBuildVer">
    <vt:lpwstr>2052-11.1.0.10009</vt:lpwstr>
  </property>
</Properties>
</file>