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bookmarkStart w:id="97" w:name="_GoBack" w:colFirst="1" w:colLast="1"/>
            <w:r>
              <w:rPr>
                <w:rFonts w:hint="eastAsia"/>
              </w:rPr>
              <w:t>工程名称</w:t>
            </w:r>
          </w:p>
        </w:tc>
        <w:tc>
          <w:tcPr>
            <w:tcW w:w="3780" w:type="dxa"/>
            <w:vAlign w:val="center"/>
          </w:tcPr>
          <w:p>
            <w:pPr>
              <w:pStyle w:val="41"/>
            </w:pPr>
            <w:r>
              <w:t>长沙</w:t>
            </w:r>
            <w:r>
              <w:rPr>
                <w:rFonts w:hint="eastAsia"/>
                <w:lang w:val="en-US" w:eastAsia="zh-CN"/>
              </w:rPr>
              <w:t>某办公楼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keepNext w:val="0"/>
              <w:keepLines w:val="0"/>
              <w:widowControl/>
              <w:suppressLineNumbers w:val="0"/>
              <w:jc w:val="center"/>
              <w:textAlignment w:val="center"/>
            </w:pPr>
            <w:bookmarkStart w:id="0" w:name="设计编号"/>
            <w:bookmarkEnd w:id="0"/>
            <w:r>
              <w:rPr>
                <w:rFonts w:hint="eastAsia" w:ascii="宋体" w:hAnsi="宋体" w:eastAsia="宋体" w:cs="宋体"/>
                <w:i w:val="0"/>
                <w:color w:val="000000"/>
                <w:kern w:val="0"/>
                <w:sz w:val="22"/>
                <w:szCs w:val="22"/>
                <w:u w:val="none"/>
                <w:lang w:val="en-US" w:eastAsia="zh-CN" w:bidi="ar"/>
              </w:rPr>
              <w:t>YBB70008</w:t>
            </w:r>
          </w:p>
        </w:tc>
      </w:tr>
      <w:bookmarkEnd w:id="97"/>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2" w:name="设计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5" w:name="计算日期"/>
            <w:r>
              <w:t>2024年12月15日</w:t>
            </w:r>
            <w:bookmarkEnd w:id="5"/>
          </w:p>
        </w:tc>
      </w:tr>
    </w:tbl>
    <w:p>
      <w:pPr>
        <w:rPr>
          <w:rFonts w:ascii="黑体" w:hAnsi="黑体" w:eastAsia="黑体"/>
          <w:b/>
          <w:bCs/>
          <w:sz w:val="28"/>
          <w:szCs w:val="28"/>
        </w:rPr>
      </w:pPr>
    </w:p>
    <w:p>
      <w:pPr>
        <w:pStyle w:val="3"/>
        <w:jc w:val="center"/>
      </w:pPr>
      <w:bookmarkStart w:id="6" w:name="二维码"/>
      <w:bookmarkEnd w:id="6"/>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bookmarkStart w:id="7" w:name="采用软件"/>
            <w:r>
              <w:t>采光分析DALI2024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T17637328916</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_Toc19904 </w:instrText>
      </w:r>
      <w:r>
        <w:rPr>
          <w:szCs w:val="28"/>
        </w:rPr>
        <w:fldChar w:fldCharType="separate"/>
      </w:r>
      <w:r>
        <w:rPr>
          <w:rFonts w:hint="eastAsia"/>
        </w:rPr>
        <w:t>1. 建筑概况</w:t>
      </w:r>
      <w:r>
        <w:tab/>
      </w:r>
      <w:r>
        <w:fldChar w:fldCharType="begin"/>
      </w:r>
      <w:r>
        <w:instrText xml:space="preserve"> PAGEREF _Toc19904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_Toc17957 </w:instrText>
      </w:r>
      <w:r>
        <w:rPr>
          <w:szCs w:val="28"/>
        </w:rPr>
        <w:fldChar w:fldCharType="separate"/>
      </w:r>
      <w:r>
        <w:rPr>
          <w:rFonts w:hint="eastAsia"/>
        </w:rPr>
        <w:t>2. 计算</w:t>
      </w:r>
      <w:r>
        <w:t>目的</w:t>
      </w:r>
      <w:r>
        <w:tab/>
      </w:r>
      <w:r>
        <w:fldChar w:fldCharType="begin"/>
      </w:r>
      <w:r>
        <w:instrText xml:space="preserve"> PAGEREF _Toc17957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_Toc5315 </w:instrText>
      </w:r>
      <w:r>
        <w:rPr>
          <w:szCs w:val="28"/>
        </w:rPr>
        <w:fldChar w:fldCharType="separate"/>
      </w:r>
      <w:r>
        <w:rPr>
          <w:rFonts w:hint="eastAsia"/>
        </w:rPr>
        <w:t>3. 分析依据</w:t>
      </w:r>
      <w:r>
        <w:tab/>
      </w:r>
      <w:r>
        <w:fldChar w:fldCharType="begin"/>
      </w:r>
      <w:r>
        <w:instrText xml:space="preserve"> PAGEREF _Toc5315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_Toc4660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_Toc4660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_Toc27633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_Toc27633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_Toc32442 </w:instrText>
      </w:r>
      <w:r>
        <w:rPr>
          <w:szCs w:val="28"/>
        </w:rPr>
        <w:fldChar w:fldCharType="separate"/>
      </w:r>
      <w:r>
        <w:rPr>
          <w:rFonts w:hint="eastAsia"/>
        </w:rPr>
        <w:t>4. 动态采光</w:t>
      </w:r>
      <w:r>
        <w:t>概述</w:t>
      </w:r>
      <w:r>
        <w:tab/>
      </w:r>
      <w:r>
        <w:fldChar w:fldCharType="begin"/>
      </w:r>
      <w:r>
        <w:instrText xml:space="preserve"> PAGEREF _Toc32442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_Toc25551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_Toc25551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_Toc9205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_Toc9205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_Toc32323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_Toc32323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_Toc9289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_Toc9289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_Toc17363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_Toc17363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_Toc24338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_Toc24338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_Toc21426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_Toc21426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_Toc18159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_Toc18159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_Toc19788 </w:instrText>
      </w:r>
      <w:r>
        <w:rPr>
          <w:szCs w:val="28"/>
        </w:rPr>
        <w:fldChar w:fldCharType="separate"/>
      </w:r>
      <w:r>
        <w:rPr>
          <w:rFonts w:hint="eastAsia"/>
        </w:rPr>
        <w:t>6. 动态采光达标统计</w:t>
      </w:r>
      <w:r>
        <w:tab/>
      </w:r>
      <w:r>
        <w:fldChar w:fldCharType="begin"/>
      </w:r>
      <w:r>
        <w:instrText xml:space="preserve"> PAGEREF _Toc19788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_Toc24486 </w:instrText>
      </w:r>
      <w:r>
        <w:rPr>
          <w:szCs w:val="28"/>
        </w:rPr>
        <w:fldChar w:fldCharType="separate"/>
      </w:r>
      <w:r>
        <w:rPr>
          <w:rFonts w:hint="eastAsia"/>
        </w:rPr>
        <w:t>7. 动态采光统计图</w:t>
      </w:r>
      <w:r>
        <w:tab/>
      </w:r>
      <w:r>
        <w:fldChar w:fldCharType="begin"/>
      </w:r>
      <w:r>
        <w:instrText xml:space="preserve"> PAGEREF _Toc24486 \h </w:instrText>
      </w:r>
      <w:r>
        <w:fldChar w:fldCharType="separate"/>
      </w:r>
      <w:r>
        <w:t>10</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_Toc10042 </w:instrText>
      </w:r>
      <w:r>
        <w:rPr>
          <w:szCs w:val="28"/>
        </w:rPr>
        <w:fldChar w:fldCharType="separate"/>
      </w:r>
      <w:r>
        <w:rPr>
          <w:rFonts w:hint="eastAsia"/>
        </w:rPr>
        <w:t xml:space="preserve">8. </w:t>
      </w:r>
      <w:r>
        <w:t>动态采光彩图</w:t>
      </w:r>
      <w:r>
        <w:tab/>
      </w:r>
      <w:r>
        <w:fldChar w:fldCharType="begin"/>
      </w:r>
      <w:r>
        <w:instrText xml:space="preserve"> PAGEREF _Toc10042 \h </w:instrText>
      </w:r>
      <w:r>
        <w:fldChar w:fldCharType="separate"/>
      </w:r>
      <w:r>
        <w:t>11</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_Toc18373 </w:instrText>
      </w:r>
      <w:r>
        <w:rPr>
          <w:szCs w:val="28"/>
        </w:rPr>
        <w:fldChar w:fldCharType="separate"/>
      </w:r>
      <w:r>
        <w:rPr>
          <w:rFonts w:hint="eastAsia"/>
        </w:rPr>
        <w:t>9. 评价结论</w:t>
      </w:r>
      <w:r>
        <w:tab/>
      </w:r>
      <w:r>
        <w:fldChar w:fldCharType="begin"/>
      </w:r>
      <w:r>
        <w:instrText xml:space="preserve"> PAGEREF _Toc18373 \h </w:instrText>
      </w:r>
      <w:r>
        <w:fldChar w:fldCharType="separate"/>
      </w:r>
      <w:r>
        <w:t>13</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ind w:left="432" w:hanging="432"/>
      </w:pPr>
      <w:r>
        <w:rPr>
          <w:szCs w:val="21"/>
        </w:rPr>
        <w:tab/>
      </w:r>
      <w:bookmarkStart w:id="11" w:name="_Toc19904"/>
      <w:bookmarkStart w:id="12" w:name="_Toc512608176"/>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长沙</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18039.69</w:t>
            </w:r>
            <w:bookmarkEnd w:id="16"/>
            <w:r>
              <w:rPr>
                <w:rFonts w:hint="eastAsia"/>
              </w:rPr>
              <w:t>㎡</w:t>
            </w:r>
            <w:r>
              <w:rPr>
                <w:rFonts w:hint="eastAsia"/>
                <w:lang w:val="en-US"/>
              </w:rPr>
              <w:t xml:space="preserve">    地下  </w:t>
            </w:r>
            <w:bookmarkStart w:id="17" w:name="地下建筑面积"/>
            <w:r>
              <w:t>796.42</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6</w:t>
            </w:r>
            <w:bookmarkEnd w:id="18"/>
            <w:r>
              <w:rPr>
                <w:rFonts w:hint="eastAsia"/>
                <w:lang w:val="en-US"/>
              </w:rPr>
              <w:t xml:space="preserve">          地下 </w:t>
            </w:r>
            <w:bookmarkStart w:id="19" w:name="地下建筑层数"/>
            <w:r>
              <w:t>1</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26.10</w:t>
            </w:r>
            <w:bookmarkEnd w:id="20"/>
            <w:r>
              <w:rPr>
                <w:rFonts w:hint="eastAsia"/>
                <w:lang w:val="en-US"/>
              </w:rPr>
              <w:t xml:space="preserve"> m     地下  </w:t>
            </w:r>
            <w:bookmarkStart w:id="21" w:name="地下建筑高度"/>
            <w:r>
              <w:t>3.00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pStyle w:val="3"/>
        <w:jc w:val="center"/>
        <w:rPr>
          <w:lang w:val="en-US"/>
        </w:rPr>
      </w:pPr>
    </w:p>
    <w:p>
      <w:pPr>
        <w:pStyle w:val="2"/>
        <w:ind w:left="432" w:hanging="432"/>
      </w:pPr>
      <w:bookmarkStart w:id="23" w:name="_Toc512608178"/>
      <w:bookmarkStart w:id="24" w:name="_Toc17957"/>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315"/>
      <w:bookmarkStart w:id="26" w:name="_Toc512608177"/>
      <w:r>
        <w:rPr>
          <w:rFonts w:hint="eastAsia"/>
        </w:rPr>
        <w:t>分析依据</w:t>
      </w:r>
      <w:bookmarkEnd w:id="25"/>
      <w:bookmarkEnd w:id="26"/>
    </w:p>
    <w:p>
      <w:pPr>
        <w:pStyle w:val="4"/>
      </w:pPr>
      <w:bookmarkStart w:id="27" w:name="_Toc4660"/>
      <w:r>
        <w:rPr>
          <w:rFonts w:hint="eastAsia"/>
        </w:rPr>
        <w:t>标准依据</w:t>
      </w:r>
      <w:bookmarkEnd w:id="27"/>
    </w:p>
    <w:p>
      <w:pPr>
        <w:pStyle w:val="3"/>
        <w:numPr>
          <w:ilvl w:val="0"/>
          <w:numId w:val="2"/>
        </w:numPr>
        <w:rPr>
          <w:lang w:val="en-US"/>
        </w:rPr>
      </w:pPr>
      <w:bookmarkStart w:id="28" w:name="标准名称"/>
      <w:bookmarkStart w:id="29" w:name="_Toc512608179"/>
      <w:r>
        <w:rPr>
          <w:lang w:val="en-US"/>
        </w:rPr>
        <w:t>《绿色建筑评价标准》GB/T 50378-2019</w:t>
      </w:r>
      <w:bookmarkEnd w:id="28"/>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30" w:name="_Toc27633"/>
      <w:r>
        <w:rPr>
          <w:rFonts w:hint="eastAsia"/>
        </w:rPr>
        <w:t>标准要求</w:t>
      </w:r>
      <w:bookmarkEnd w:id="29"/>
      <w:bookmarkEnd w:id="30"/>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1" w:name="标准名称1"/>
      <w:r>
        <w:rPr>
          <w:rFonts w:hint="eastAsia"/>
          <w:b/>
          <w:lang w:val="en-US"/>
        </w:rPr>
        <w:t>《绿色建筑评价标准》GB/T 50378-2019</w:t>
      </w:r>
      <w:bookmarkEnd w:id="31"/>
      <w:r>
        <w:rPr>
          <w:b/>
          <w:lang w:val="en-US"/>
        </w:rPr>
        <w:t xml:space="preserve">    </w:t>
      </w:r>
    </w:p>
    <w:p>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2" w:name="公建动态采光评价要求"/>
      <w:r>
        <w:rPr>
          <w:rFonts w:ascii="微软雅黑" w:hAnsi="微软雅黑" w:eastAsia="微软雅黑" w:cs="微软雅黑"/>
        </w:rPr>
        <w:t>4</w:t>
      </w:r>
      <w:bookmarkEnd w:id="32"/>
      <w:r>
        <w:rPr>
          <w:rFonts w:ascii="微软雅黑" w:hAnsi="微软雅黑" w:eastAsia="微软雅黑" w:cs="微软雅黑"/>
        </w:rPr>
        <w:t>h/d，得</w:t>
      </w:r>
      <w:bookmarkStart w:id="33" w:name="公建动态采光评价分值"/>
      <w:r>
        <w:rPr>
          <w:rFonts w:ascii="微软雅黑" w:hAnsi="微软雅黑" w:eastAsia="微软雅黑" w:cs="微软雅黑"/>
        </w:rPr>
        <w:t>3</w:t>
      </w:r>
      <w:bookmarkEnd w:id="33"/>
      <w:r>
        <w:rPr>
          <w:rFonts w:ascii="微软雅黑" w:hAnsi="微软雅黑" w:eastAsia="微软雅黑" w:cs="微软雅黑"/>
        </w:rPr>
        <w:t>分。</w:t>
      </w:r>
    </w:p>
    <w:p>
      <w:pPr>
        <w:pStyle w:val="3"/>
        <w:ind w:left="420" w:leftChars="200"/>
      </w:pPr>
    </w:p>
    <w:p>
      <w:pPr>
        <w:pStyle w:val="3"/>
        <w:ind w:left="420" w:leftChars="200"/>
        <w:rPr>
          <w:bCs/>
          <w:color w:val="000000" w:themeColor="text1"/>
          <w:lang w:val="en-US"/>
          <w14:textFill>
            <w14:solidFill>
              <w14:schemeClr w14:val="tx1"/>
            </w14:solidFill>
          </w14:textFill>
        </w:rPr>
      </w:pPr>
    </w:p>
    <w:p>
      <w:pPr>
        <w:pStyle w:val="3"/>
        <w:ind w:left="420" w:leftChars="200"/>
        <w:rPr>
          <w:bCs/>
        </w:rPr>
      </w:pP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4" w:name="建筑类型"/>
      <w:r>
        <w:rPr>
          <w:rFonts w:hint="eastAsia"/>
        </w:rPr>
        <w:t>学校建筑、办公建筑</w:t>
      </w:r>
      <w:bookmarkEnd w:id="34"/>
      <w:r>
        <w:rPr>
          <w:rFonts w:hint="eastAsia"/>
        </w:rPr>
        <w:t>，</w:t>
      </w:r>
      <w:r>
        <w:t>根据</w:t>
      </w:r>
      <w:r>
        <w:rPr>
          <w:rFonts w:hint="eastAsia"/>
        </w:rPr>
        <w:t>标准要求的采光照度值根据对应</w:t>
      </w:r>
      <w:r>
        <w:t>房间类型</w:t>
      </w:r>
      <w:r>
        <w:rPr>
          <w:rFonts w:hint="eastAsia"/>
        </w:rPr>
        <w:t>确定。</w:t>
      </w:r>
    </w:p>
    <w:p>
      <w:pPr>
        <w:ind w:firstLine="420"/>
        <w:jc w:val="left"/>
        <w:rPr>
          <w:rFonts w:ascii="微软雅黑" w:hAnsi="微软雅黑" w:eastAsia="微软雅黑"/>
        </w:rPr>
      </w:pPr>
      <w:bookmarkStart w:id="35" w:name="条文描述_办公建筑"/>
      <w:r>
        <w:rPr>
          <w:rFonts w:hint="eastAsia" w:ascii="微软雅黑" w:hAnsi="微软雅黑" w:eastAsia="微软雅黑"/>
        </w:rPr>
        <w:t>4.0.8  办公建筑的采光标准值不应低于表4.0.8的规定。</w:t>
      </w:r>
    </w:p>
    <w:p>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pPr>
              <w:widowControl w:val="0"/>
              <w:jc w:val="center"/>
              <w:rPr>
                <w:szCs w:val="18"/>
              </w:rPr>
            </w:pPr>
            <w:r>
              <w:rPr>
                <w:rFonts w:hint="eastAsia"/>
                <w:szCs w:val="18"/>
              </w:rPr>
              <w:t>采光等级</w:t>
            </w:r>
          </w:p>
        </w:tc>
        <w:tc>
          <w:tcPr>
            <w:tcW w:w="2552" w:type="dxa"/>
            <w:vMerge w:val="restart"/>
            <w:vAlign w:val="center"/>
          </w:tcPr>
          <w:p>
            <w:pPr>
              <w:widowControl w:val="0"/>
              <w:jc w:val="center"/>
              <w:rPr>
                <w:szCs w:val="18"/>
              </w:rPr>
            </w:pPr>
            <w:r>
              <w:rPr>
                <w:rFonts w:hint="eastAsia"/>
                <w:szCs w:val="18"/>
              </w:rPr>
              <w:t>场所名称</w:t>
            </w:r>
          </w:p>
        </w:tc>
        <w:tc>
          <w:tcPr>
            <w:tcW w:w="5393" w:type="dxa"/>
            <w:gridSpan w:val="2"/>
            <w:vAlign w:val="center"/>
          </w:tcPr>
          <w:p>
            <w:pPr>
              <w:widowControl w:val="0"/>
              <w:jc w:val="center"/>
              <w:rPr>
                <w:szCs w:val="18"/>
              </w:rPr>
            </w:pPr>
            <w:r>
              <w:rPr>
                <w:rFonts w:hint="eastAsia"/>
                <w:szCs w:val="18"/>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pPr>
              <w:widowControl w:val="0"/>
              <w:jc w:val="center"/>
              <w:rPr>
                <w:szCs w:val="18"/>
              </w:rPr>
            </w:pPr>
          </w:p>
        </w:tc>
        <w:tc>
          <w:tcPr>
            <w:tcW w:w="2552" w:type="dxa"/>
            <w:vMerge w:val="continue"/>
            <w:vAlign w:val="center"/>
          </w:tcPr>
          <w:p>
            <w:pPr>
              <w:widowControl w:val="0"/>
              <w:jc w:val="center"/>
              <w:rPr>
                <w:szCs w:val="18"/>
              </w:rPr>
            </w:pPr>
          </w:p>
        </w:tc>
        <w:tc>
          <w:tcPr>
            <w:tcW w:w="2409" w:type="dxa"/>
            <w:vAlign w:val="center"/>
          </w:tcPr>
          <w:p>
            <w:pPr>
              <w:widowControl w:val="0"/>
              <w:jc w:val="center"/>
              <w:rPr>
                <w:szCs w:val="18"/>
              </w:rPr>
            </w:pPr>
            <w:r>
              <w:rPr>
                <w:szCs w:val="18"/>
              </w:rPr>
              <w:t>采光系数标准值（%）</w:t>
            </w:r>
          </w:p>
        </w:tc>
        <w:tc>
          <w:tcPr>
            <w:tcW w:w="2984" w:type="dxa"/>
            <w:vAlign w:val="center"/>
          </w:tcPr>
          <w:p>
            <w:pPr>
              <w:widowControl w:val="0"/>
              <w:jc w:val="center"/>
              <w:rPr>
                <w:szCs w:val="18"/>
              </w:rPr>
            </w:pPr>
            <w:r>
              <w:rPr>
                <w:szCs w:val="18"/>
              </w:rPr>
              <w:t>室</w:t>
            </w:r>
            <w:r>
              <w:rPr>
                <w:rFonts w:hint="eastAsia"/>
                <w:szCs w:val="18"/>
              </w:rPr>
              <w:t>内</w:t>
            </w:r>
            <w:r>
              <w:rPr>
                <w:szCs w:val="18"/>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Ⅱ</w:t>
            </w:r>
          </w:p>
        </w:tc>
        <w:tc>
          <w:tcPr>
            <w:tcW w:w="2552" w:type="dxa"/>
            <w:vAlign w:val="center"/>
          </w:tcPr>
          <w:p>
            <w:pPr>
              <w:widowControl w:val="0"/>
              <w:jc w:val="center"/>
              <w:rPr>
                <w:szCs w:val="18"/>
              </w:rPr>
            </w:pPr>
            <w:r>
              <w:rPr>
                <w:rFonts w:hint="eastAsia"/>
                <w:szCs w:val="18"/>
              </w:rPr>
              <w:t>设计室、绘图室</w:t>
            </w:r>
          </w:p>
        </w:tc>
        <w:tc>
          <w:tcPr>
            <w:tcW w:w="2409" w:type="dxa"/>
            <w:vAlign w:val="center"/>
          </w:tcPr>
          <w:p>
            <w:pPr>
              <w:widowControl w:val="0"/>
              <w:jc w:val="center"/>
              <w:rPr>
                <w:szCs w:val="18"/>
              </w:rPr>
            </w:pPr>
            <w:r>
              <w:rPr>
                <w:szCs w:val="18"/>
              </w:rPr>
              <w:t>4.0</w:t>
            </w:r>
          </w:p>
        </w:tc>
        <w:tc>
          <w:tcPr>
            <w:tcW w:w="2984" w:type="dxa"/>
            <w:vAlign w:val="center"/>
          </w:tcPr>
          <w:p>
            <w:pPr>
              <w:widowControl w:val="0"/>
              <w:jc w:val="center"/>
              <w:rPr>
                <w:szCs w:val="18"/>
              </w:rPr>
            </w:pPr>
            <w:r>
              <w:rPr>
                <w:rFonts w:hint="eastAsia"/>
                <w:szCs w:val="18"/>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jc w:val="center"/>
              <w:rPr>
                <w:szCs w:val="18"/>
              </w:rPr>
            </w:pPr>
            <w:r>
              <w:rPr>
                <w:rFonts w:hint="eastAsia"/>
                <w:szCs w:val="18"/>
              </w:rPr>
              <w:t>Ⅲ</w:t>
            </w:r>
          </w:p>
        </w:tc>
        <w:tc>
          <w:tcPr>
            <w:tcW w:w="2552" w:type="dxa"/>
            <w:vAlign w:val="center"/>
          </w:tcPr>
          <w:p>
            <w:pPr>
              <w:widowControl w:val="0"/>
              <w:jc w:val="center"/>
              <w:rPr>
                <w:szCs w:val="18"/>
              </w:rPr>
            </w:pPr>
            <w:r>
              <w:rPr>
                <w:rFonts w:hint="eastAsia"/>
                <w:szCs w:val="18"/>
              </w:rPr>
              <w:t>办公室、会议室</w:t>
            </w:r>
          </w:p>
        </w:tc>
        <w:tc>
          <w:tcPr>
            <w:tcW w:w="2409" w:type="dxa"/>
            <w:vAlign w:val="center"/>
          </w:tcPr>
          <w:p>
            <w:pPr>
              <w:widowControl w:val="0"/>
              <w:jc w:val="center"/>
              <w:rPr>
                <w:szCs w:val="18"/>
              </w:rPr>
            </w:pPr>
            <w:r>
              <w:rPr>
                <w:szCs w:val="18"/>
              </w:rPr>
              <w:t>3.0</w:t>
            </w:r>
          </w:p>
        </w:tc>
        <w:tc>
          <w:tcPr>
            <w:tcW w:w="2984" w:type="dxa"/>
            <w:vAlign w:val="center"/>
          </w:tcPr>
          <w:p>
            <w:pPr>
              <w:widowControl w:val="0"/>
              <w:jc w:val="center"/>
              <w:rPr>
                <w:szCs w:val="18"/>
              </w:rPr>
            </w:pPr>
            <w:r>
              <w:rPr>
                <w:szCs w:val="18"/>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Ⅳ</w:t>
            </w:r>
          </w:p>
        </w:tc>
        <w:tc>
          <w:tcPr>
            <w:tcW w:w="2552" w:type="dxa"/>
            <w:vAlign w:val="center"/>
          </w:tcPr>
          <w:p>
            <w:pPr>
              <w:widowControl w:val="0"/>
              <w:jc w:val="center"/>
              <w:rPr>
                <w:szCs w:val="18"/>
              </w:rPr>
            </w:pPr>
            <w:r>
              <w:rPr>
                <w:rFonts w:hint="eastAsia"/>
                <w:szCs w:val="18"/>
              </w:rPr>
              <w:t>复印室、档案室</w:t>
            </w:r>
          </w:p>
        </w:tc>
        <w:tc>
          <w:tcPr>
            <w:tcW w:w="2409" w:type="dxa"/>
            <w:vAlign w:val="center"/>
          </w:tcPr>
          <w:p>
            <w:pPr>
              <w:widowControl w:val="0"/>
              <w:jc w:val="center"/>
              <w:rPr>
                <w:szCs w:val="18"/>
              </w:rPr>
            </w:pPr>
            <w:r>
              <w:rPr>
                <w:szCs w:val="18"/>
              </w:rPr>
              <w:t>2.0</w:t>
            </w:r>
          </w:p>
        </w:tc>
        <w:tc>
          <w:tcPr>
            <w:tcW w:w="2984" w:type="dxa"/>
            <w:vAlign w:val="center"/>
          </w:tcPr>
          <w:p>
            <w:pPr>
              <w:widowControl w:val="0"/>
              <w:jc w:val="center"/>
              <w:rPr>
                <w:szCs w:val="18"/>
              </w:rPr>
            </w:pPr>
            <w:r>
              <w:rPr>
                <w:szCs w:val="18"/>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jc w:val="center"/>
              <w:rPr>
                <w:szCs w:val="18"/>
              </w:rPr>
            </w:pPr>
            <w:r>
              <w:rPr>
                <w:rFonts w:hint="eastAsia"/>
                <w:szCs w:val="18"/>
              </w:rPr>
              <w:t>Ⅴ</w:t>
            </w:r>
          </w:p>
        </w:tc>
        <w:tc>
          <w:tcPr>
            <w:tcW w:w="2552" w:type="dxa"/>
            <w:vAlign w:val="center"/>
          </w:tcPr>
          <w:p>
            <w:pPr>
              <w:widowControl w:val="0"/>
              <w:jc w:val="center"/>
              <w:rPr>
                <w:szCs w:val="18"/>
              </w:rPr>
            </w:pPr>
            <w:r>
              <w:rPr>
                <w:rFonts w:hint="eastAsia"/>
                <w:szCs w:val="18"/>
              </w:rPr>
              <w:t>走道、楼梯间、卫生间</w:t>
            </w:r>
          </w:p>
        </w:tc>
        <w:tc>
          <w:tcPr>
            <w:tcW w:w="2409" w:type="dxa"/>
            <w:vAlign w:val="center"/>
          </w:tcPr>
          <w:p>
            <w:pPr>
              <w:widowControl w:val="0"/>
              <w:jc w:val="center"/>
              <w:rPr>
                <w:szCs w:val="18"/>
              </w:rPr>
            </w:pPr>
            <w:r>
              <w:rPr>
                <w:szCs w:val="18"/>
              </w:rPr>
              <w:t>1.0</w:t>
            </w:r>
          </w:p>
        </w:tc>
        <w:tc>
          <w:tcPr>
            <w:tcW w:w="2984" w:type="dxa"/>
            <w:vAlign w:val="center"/>
          </w:tcPr>
          <w:p>
            <w:pPr>
              <w:widowControl w:val="0"/>
              <w:jc w:val="center"/>
              <w:rPr>
                <w:szCs w:val="18"/>
              </w:rPr>
            </w:pPr>
            <w:r>
              <w:rPr>
                <w:szCs w:val="18"/>
              </w:rPr>
              <w:t>150</w:t>
            </w:r>
          </w:p>
        </w:tc>
      </w:tr>
      <w:bookmarkEnd w:id="35"/>
    </w:tbl>
    <w:p>
      <w:pPr>
        <w:ind w:firstLine="420"/>
        <w:jc w:val="left"/>
        <w:rPr>
          <w:rFonts w:ascii="微软雅黑" w:hAnsi="微软雅黑" w:eastAsia="微软雅黑"/>
        </w:rPr>
      </w:pPr>
      <w:bookmarkStart w:id="36"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pPr>
              <w:widowControl w:val="0"/>
              <w:jc w:val="center"/>
              <w:rPr>
                <w:szCs w:val="21"/>
              </w:rPr>
            </w:pPr>
            <w:r>
              <w:rPr>
                <w:rFonts w:hint="eastAsia"/>
                <w:szCs w:val="21"/>
              </w:rPr>
              <w:t>采光等级</w:t>
            </w:r>
          </w:p>
        </w:tc>
        <w:tc>
          <w:tcPr>
            <w:tcW w:w="2552" w:type="dxa"/>
            <w:vMerge w:val="restart"/>
            <w:vAlign w:val="center"/>
          </w:tcPr>
          <w:p>
            <w:pPr>
              <w:widowControl w:val="0"/>
              <w:jc w:val="center"/>
              <w:rPr>
                <w:szCs w:val="21"/>
              </w:rPr>
            </w:pPr>
            <w:r>
              <w:rPr>
                <w:rFonts w:hint="eastAsia"/>
                <w:szCs w:val="21"/>
              </w:rPr>
              <w:t>场所名称</w:t>
            </w:r>
          </w:p>
        </w:tc>
        <w:tc>
          <w:tcPr>
            <w:tcW w:w="5386" w:type="dxa"/>
            <w:gridSpan w:val="2"/>
            <w:vAlign w:val="center"/>
          </w:tcPr>
          <w:p>
            <w:pPr>
              <w:widowControl w:val="0"/>
              <w:jc w:val="center"/>
              <w:rPr>
                <w:szCs w:val="21"/>
              </w:rPr>
            </w:pPr>
            <w:r>
              <w:rPr>
                <w:rFonts w:hint="eastAsia"/>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pPr>
              <w:widowControl w:val="0"/>
              <w:jc w:val="center"/>
              <w:rPr>
                <w:szCs w:val="21"/>
              </w:rPr>
            </w:pPr>
          </w:p>
        </w:tc>
        <w:tc>
          <w:tcPr>
            <w:tcW w:w="2552" w:type="dxa"/>
            <w:vMerge w:val="continue"/>
            <w:vAlign w:val="center"/>
          </w:tcPr>
          <w:p>
            <w:pPr>
              <w:widowControl w:val="0"/>
              <w:jc w:val="center"/>
              <w:rPr>
                <w:szCs w:val="21"/>
              </w:rPr>
            </w:pPr>
          </w:p>
        </w:tc>
        <w:tc>
          <w:tcPr>
            <w:tcW w:w="2693" w:type="dxa"/>
            <w:vAlign w:val="center"/>
          </w:tcPr>
          <w:p>
            <w:pPr>
              <w:widowControl w:val="0"/>
              <w:jc w:val="center"/>
              <w:rPr>
                <w:szCs w:val="21"/>
              </w:rPr>
            </w:pPr>
            <w:r>
              <w:rPr>
                <w:rFonts w:hint="eastAsia"/>
                <w:szCs w:val="21"/>
              </w:rPr>
              <w:t>采光系数标准值</w:t>
            </w:r>
          </w:p>
          <w:p>
            <w:pPr>
              <w:widowControl w:val="0"/>
              <w:jc w:val="center"/>
              <w:rPr>
                <w:szCs w:val="21"/>
              </w:rPr>
            </w:pPr>
            <w:r>
              <w:t>（%）</w:t>
            </w:r>
          </w:p>
        </w:tc>
        <w:tc>
          <w:tcPr>
            <w:tcW w:w="2693" w:type="dxa"/>
            <w:vAlign w:val="center"/>
          </w:tcPr>
          <w:p>
            <w:pPr>
              <w:widowControl w:val="0"/>
              <w:jc w:val="center"/>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pPr>
              <w:widowControl w:val="0"/>
              <w:jc w:val="center"/>
              <w:rPr>
                <w:szCs w:val="21"/>
              </w:rPr>
            </w:pPr>
            <w:r>
              <w:rPr>
                <w:rFonts w:hint="eastAsia"/>
                <w:szCs w:val="21"/>
              </w:rPr>
              <w:t>Ⅲ</w:t>
            </w:r>
          </w:p>
        </w:tc>
        <w:tc>
          <w:tcPr>
            <w:tcW w:w="2552" w:type="dxa"/>
            <w:vAlign w:val="center"/>
          </w:tcPr>
          <w:p>
            <w:pPr>
              <w:widowControl w:val="0"/>
              <w:jc w:val="center"/>
              <w:rPr>
                <w:szCs w:val="21"/>
              </w:rPr>
            </w:pPr>
            <w:r>
              <w:rPr>
                <w:rFonts w:hint="eastAsia"/>
                <w:szCs w:val="21"/>
              </w:rPr>
              <w:t>专用教室、实验室、阶梯教室、教师办公室</w:t>
            </w:r>
          </w:p>
        </w:tc>
        <w:tc>
          <w:tcPr>
            <w:tcW w:w="2693" w:type="dxa"/>
            <w:vAlign w:val="center"/>
          </w:tcPr>
          <w:p>
            <w:pPr>
              <w:widowControl w:val="0"/>
              <w:jc w:val="center"/>
              <w:rPr>
                <w:szCs w:val="21"/>
              </w:rPr>
            </w:pPr>
            <w:r>
              <w:rPr>
                <w:rFonts w:hint="eastAsia"/>
                <w:szCs w:val="21"/>
              </w:rPr>
              <w:t>3.0</w:t>
            </w:r>
          </w:p>
        </w:tc>
        <w:tc>
          <w:tcPr>
            <w:tcW w:w="2693" w:type="dxa"/>
            <w:vAlign w:val="center"/>
          </w:tcPr>
          <w:p>
            <w:pPr>
              <w:widowControl w:val="0"/>
              <w:jc w:val="center"/>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5" w:hRule="exact"/>
          <w:jc w:val="center"/>
        </w:trPr>
        <w:tc>
          <w:tcPr>
            <w:tcW w:w="694" w:type="dxa"/>
            <w:vAlign w:val="center"/>
          </w:tcPr>
          <w:p>
            <w:pPr>
              <w:widowControl w:val="0"/>
              <w:jc w:val="center"/>
              <w:rPr>
                <w:szCs w:val="21"/>
              </w:rPr>
            </w:pPr>
            <w:r>
              <w:rPr>
                <w:rFonts w:hint="eastAsia"/>
                <w:szCs w:val="21"/>
              </w:rPr>
              <w:t>Ⅴ</w:t>
            </w:r>
          </w:p>
        </w:tc>
        <w:tc>
          <w:tcPr>
            <w:tcW w:w="2552" w:type="dxa"/>
            <w:vAlign w:val="center"/>
          </w:tcPr>
          <w:p>
            <w:pPr>
              <w:widowControl w:val="0"/>
              <w:jc w:val="center"/>
              <w:rPr>
                <w:szCs w:val="21"/>
              </w:rPr>
            </w:pPr>
            <w:r>
              <w:rPr>
                <w:rFonts w:hint="eastAsia"/>
                <w:szCs w:val="21"/>
              </w:rPr>
              <w:t>走道、楼梯间、卫生间</w:t>
            </w:r>
          </w:p>
        </w:tc>
        <w:tc>
          <w:tcPr>
            <w:tcW w:w="2693" w:type="dxa"/>
            <w:vAlign w:val="center"/>
          </w:tcPr>
          <w:p>
            <w:pPr>
              <w:widowControl w:val="0"/>
              <w:jc w:val="center"/>
              <w:rPr>
                <w:szCs w:val="21"/>
              </w:rPr>
            </w:pPr>
            <w:r>
              <w:rPr>
                <w:rFonts w:hint="eastAsia"/>
                <w:szCs w:val="21"/>
              </w:rPr>
              <w:t>1.0</w:t>
            </w:r>
          </w:p>
          <w:p>
            <w:pPr>
              <w:widowControl w:val="0"/>
              <w:jc w:val="center"/>
              <w:rPr>
                <w:szCs w:val="21"/>
              </w:rPr>
            </w:pPr>
          </w:p>
          <w:p>
            <w:pPr>
              <w:widowControl w:val="0"/>
              <w:jc w:val="center"/>
              <w:rPr>
                <w:szCs w:val="21"/>
              </w:rPr>
            </w:pPr>
          </w:p>
          <w:p>
            <w:pPr>
              <w:widowControl w:val="0"/>
              <w:jc w:val="center"/>
              <w:rPr>
                <w:szCs w:val="21"/>
              </w:rPr>
            </w:pPr>
          </w:p>
          <w:p>
            <w:pPr>
              <w:widowControl w:val="0"/>
              <w:jc w:val="center"/>
              <w:rPr>
                <w:szCs w:val="21"/>
              </w:rPr>
            </w:pPr>
          </w:p>
        </w:tc>
        <w:tc>
          <w:tcPr>
            <w:tcW w:w="2693" w:type="dxa"/>
            <w:vAlign w:val="center"/>
          </w:tcPr>
          <w:p>
            <w:pPr>
              <w:widowControl w:val="0"/>
              <w:jc w:val="center"/>
              <w:rPr>
                <w:szCs w:val="21"/>
              </w:rPr>
            </w:pPr>
            <w:r>
              <w:rPr>
                <w:rFonts w:hint="eastAsia"/>
                <w:szCs w:val="21"/>
              </w:rPr>
              <w:t>150</w:t>
            </w:r>
          </w:p>
        </w:tc>
      </w:tr>
    </w:tbl>
    <w:p>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sz w:val="24"/>
        </w:rPr>
      </w:pPr>
    </w:p>
    <w:p>
      <w:pPr>
        <w:pStyle w:val="3"/>
        <w:spacing w:line="360" w:lineRule="auto"/>
        <w:ind w:firstLine="420"/>
        <w:rPr>
          <w:b/>
          <w:lang w:val="en-US"/>
        </w:rPr>
      </w:pPr>
      <w:r>
        <w:rPr>
          <w:rFonts w:hint="eastAsia"/>
          <w:lang w:val="en-US"/>
        </w:rPr>
        <w:t>■</w:t>
      </w:r>
      <w:r>
        <w:rPr>
          <w:rFonts w:hint="eastAsia"/>
          <w:b/>
          <w:lang w:val="en-US"/>
        </w:rPr>
        <w:t>《绿色建筑评价标准技术细则2019》</w:t>
      </w:r>
    </w:p>
    <w:p>
      <w:pPr>
        <w:pStyle w:val="3"/>
        <w:spacing w:line="360" w:lineRule="auto"/>
        <w:ind w:firstLine="420"/>
        <w:rPr>
          <w:sz w:val="32"/>
          <w:lang w:val="en-US"/>
        </w:rPr>
      </w:pPr>
      <w:r>
        <w:rPr>
          <w:rFonts w:hint="eastAsia"/>
        </w:rPr>
        <w:t>公共建筑动态采光要求：</w:t>
      </w:r>
    </w:p>
    <w:p>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pPr>
    </w:p>
    <w:p>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pPr>
    </w:p>
    <w:p>
      <w:pPr>
        <w:pStyle w:val="2"/>
        <w:ind w:left="432" w:hanging="432"/>
      </w:pPr>
      <w:bookmarkStart w:id="37" w:name="_Toc32442"/>
      <w:r>
        <w:rPr>
          <w:rFonts w:hint="eastAsia"/>
        </w:rPr>
        <w:t>动态采光</w:t>
      </w:r>
      <w:r>
        <w:t>概述</w:t>
      </w:r>
      <w:bookmarkEnd w:id="36"/>
      <w:bookmarkEnd w:id="37"/>
    </w:p>
    <w:p>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209341"/>
      <w:bookmarkStart w:id="39" w:name="_Toc275165387"/>
      <w:bookmarkStart w:id="40" w:name="_Toc290149059"/>
      <w:bookmarkStart w:id="41" w:name="_Toc290209317"/>
      <w:bookmarkStart w:id="42" w:name="_Toc264043630"/>
      <w:bookmarkStart w:id="43" w:name="_Toc264569237"/>
      <w:bookmarkStart w:id="44" w:name="_Toc312399796"/>
    </w:p>
    <w:p>
      <w:pPr>
        <w:pStyle w:val="3"/>
      </w:pPr>
      <w:r>
        <w:t xml:space="preserve"> </w:t>
      </w:r>
    </w:p>
    <w:bookmarkEnd w:id="38"/>
    <w:bookmarkEnd w:id="39"/>
    <w:bookmarkEnd w:id="40"/>
    <w:bookmarkEnd w:id="41"/>
    <w:bookmarkEnd w:id="42"/>
    <w:bookmarkEnd w:id="43"/>
    <w:bookmarkEnd w:id="44"/>
    <w:p>
      <w:pPr>
        <w:pStyle w:val="4"/>
        <w:tabs>
          <w:tab w:val="left" w:pos="862"/>
          <w:tab w:val="clear" w:pos="578"/>
        </w:tabs>
        <w:ind w:left="862"/>
      </w:pPr>
      <w:bookmarkStart w:id="45" w:name="_Toc25551"/>
      <w:r>
        <w:rPr>
          <w:rFonts w:hint="eastAsia"/>
        </w:rPr>
        <w:t>计算方法</w:t>
      </w:r>
      <w:bookmarkEnd w:id="45"/>
    </w:p>
    <w:p>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6" w:name="_Toc9205"/>
      <w:r>
        <w:t>软件</w:t>
      </w:r>
      <w:r>
        <w:rPr>
          <w:rFonts w:hint="eastAsia"/>
        </w:rPr>
        <w:t>选用</w:t>
      </w:r>
      <w:bookmarkEnd w:id="46"/>
    </w:p>
    <w:p>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9" w:name="_Toc512608187"/>
      <w:bookmarkStart w:id="50" w:name="_Toc32323"/>
      <w:r>
        <w:rPr>
          <w:rFonts w:hint="eastAsia"/>
        </w:rPr>
        <w:t>采光计算</w:t>
      </w:r>
      <w:r>
        <w:t>参数</w:t>
      </w:r>
      <w:r>
        <w:rPr>
          <w:rFonts w:hint="eastAsia"/>
        </w:rPr>
        <w:t>取值</w:t>
      </w:r>
      <w:bookmarkEnd w:id="49"/>
      <w:bookmarkEnd w:id="50"/>
    </w:p>
    <w:p>
      <w:pPr>
        <w:pStyle w:val="4"/>
      </w:pPr>
      <w:bookmarkStart w:id="51" w:name="_Toc290149058"/>
      <w:bookmarkStart w:id="52" w:name="_Toc290209340"/>
      <w:bookmarkStart w:id="53" w:name="_Toc264043629"/>
      <w:bookmarkStart w:id="54" w:name="_Toc275165386"/>
      <w:bookmarkStart w:id="55" w:name="_Toc264569236"/>
      <w:bookmarkStart w:id="56" w:name="_Toc312399795"/>
      <w:bookmarkStart w:id="57" w:name="_Toc290209316"/>
      <w:bookmarkStart w:id="58" w:name="_Toc512608188"/>
      <w:bookmarkStart w:id="59" w:name="_Toc9289"/>
      <w:r>
        <w:t>模拟</w:t>
      </w:r>
      <w:bookmarkEnd w:id="51"/>
      <w:bookmarkEnd w:id="52"/>
      <w:bookmarkEnd w:id="53"/>
      <w:bookmarkEnd w:id="54"/>
      <w:bookmarkEnd w:id="55"/>
      <w:bookmarkEnd w:id="56"/>
      <w:bookmarkEnd w:id="57"/>
      <w:r>
        <w:rPr>
          <w:rFonts w:hint="eastAsia"/>
        </w:rPr>
        <w:t>分析条件说明</w:t>
      </w:r>
      <w:bookmarkEnd w:id="58"/>
      <w:bookmarkEnd w:id="59"/>
    </w:p>
    <w:p>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pPr>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pPr>
              <w:jc w:val="center"/>
            </w:pPr>
            <w:bookmarkStart w:id="65" w:name="小房间网格大小"/>
            <w:r>
              <w:rPr>
                <w:rFonts w:hint="eastAsia"/>
              </w:rPr>
              <w:t>0.25</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bookmarkStart w:id="66" w:name="网格划分房间面积"/>
            <w:r>
              <w:rPr>
                <w:rFonts w:hint="eastAsia"/>
              </w:rPr>
              <w:t>10~100</w:t>
            </w:r>
            <w:bookmarkEnd w:id="66"/>
          </w:p>
        </w:tc>
        <w:tc>
          <w:tcPr>
            <w:tcW w:w="3272" w:type="dxa"/>
            <w:shd w:val="clear" w:color="auto" w:fill="auto"/>
            <w:vAlign w:val="center"/>
          </w:tcPr>
          <w:p>
            <w:pPr>
              <w:jc w:val="center"/>
            </w:pPr>
            <w:bookmarkStart w:id="67" w:name="网格大小"/>
            <w:r>
              <w:rPr>
                <w:rFonts w:hint="eastAsia"/>
              </w:rPr>
              <w:t>0.50</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pPr>
              <w:jc w:val="center"/>
            </w:pPr>
            <w:bookmarkStart w:id="69" w:name="大房间网格大小"/>
            <w:r>
              <w:rPr>
                <w:rFonts w:hint="eastAsia"/>
              </w:rPr>
              <w:t>1.00</w:t>
            </w:r>
            <w:bookmarkEnd w:id="69"/>
          </w:p>
        </w:tc>
      </w:tr>
    </w:tbl>
    <w:p>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pStyle w:val="4"/>
      </w:pPr>
      <w:bookmarkStart w:id="70" w:name="_Toc17363"/>
      <w:r>
        <w:rPr>
          <w:rFonts w:hint="eastAsia"/>
        </w:rPr>
        <w:t>建筑饰面材料参数</w:t>
      </w:r>
      <w:bookmarkEnd w:id="63"/>
      <w:bookmarkEnd w:id="70"/>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pPr>
              <w:jc w:val="center"/>
            </w:pPr>
            <w:r>
              <w:rPr>
                <w:rFonts w:hint="eastAsia"/>
              </w:rPr>
              <w:t>顶棚</w:t>
            </w:r>
          </w:p>
        </w:tc>
        <w:tc>
          <w:tcPr>
            <w:tcW w:w="1661" w:type="dxa"/>
            <w:tcBorders>
              <w:top w:val="single" w:color="auto" w:sz="12" w:space="0"/>
              <w:bottom w:val="single" w:color="auto" w:sz="4" w:space="0"/>
            </w:tcBorders>
            <w:shd w:val="clear" w:color="auto" w:fill="E6E6E6"/>
          </w:tcPr>
          <w:p>
            <w:pPr>
              <w:jc w:val="center"/>
            </w:pPr>
            <w:r>
              <w:rPr>
                <w:rFonts w:hint="eastAsia"/>
              </w:rPr>
              <w:t>地面</w:t>
            </w:r>
          </w:p>
        </w:tc>
        <w:tc>
          <w:tcPr>
            <w:tcW w:w="1661" w:type="dxa"/>
            <w:tcBorders>
              <w:top w:val="single" w:color="auto" w:sz="12" w:space="0"/>
              <w:bottom w:val="single" w:color="auto" w:sz="4" w:space="0"/>
            </w:tcBorders>
            <w:shd w:val="clear" w:color="auto" w:fill="E6E6E6"/>
          </w:tcPr>
          <w:p>
            <w:pPr>
              <w:jc w:val="center"/>
            </w:pPr>
            <w:r>
              <w:rPr>
                <w:rFonts w:hint="eastAsia"/>
              </w:rPr>
              <w:t>墙面</w:t>
            </w:r>
          </w:p>
        </w:tc>
        <w:tc>
          <w:tcPr>
            <w:tcW w:w="1662" w:type="dxa"/>
            <w:tcBorders>
              <w:top w:val="single" w:color="auto" w:sz="12" w:space="0"/>
              <w:bottom w:val="single" w:color="auto" w:sz="4" w:space="0"/>
            </w:tcBorders>
            <w:shd w:val="clear" w:color="auto" w:fill="E6E6E6"/>
          </w:tcPr>
          <w:p>
            <w:pPr>
              <w:jc w:val="center"/>
            </w:pPr>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pPr>
              <w:jc w:val="center"/>
            </w:pPr>
            <w:r>
              <w:rPr>
                <w:rFonts w:hint="eastAsia"/>
              </w:rPr>
              <w:t>反射比材料设计取值</w:t>
            </w:r>
          </w:p>
        </w:tc>
        <w:tc>
          <w:tcPr>
            <w:tcW w:w="1661" w:type="dxa"/>
            <w:tcBorders>
              <w:top w:val="single" w:color="auto" w:sz="4" w:space="0"/>
            </w:tcBorders>
            <w:shd w:val="clear" w:color="auto" w:fill="auto"/>
            <w:vAlign w:val="center"/>
          </w:tcPr>
          <w:p>
            <w:pPr>
              <w:jc w:val="center"/>
            </w:pPr>
            <w:bookmarkStart w:id="71" w:name="顶棚反射比"/>
            <w:r>
              <w:rPr>
                <w:rFonts w:hint="eastAsia"/>
              </w:rPr>
              <w:t>0.75</w:t>
            </w:r>
            <w:bookmarkEnd w:id="71"/>
          </w:p>
        </w:tc>
        <w:tc>
          <w:tcPr>
            <w:tcW w:w="1661" w:type="dxa"/>
            <w:tcBorders>
              <w:top w:val="single" w:color="auto" w:sz="4" w:space="0"/>
            </w:tcBorders>
            <w:vAlign w:val="center"/>
          </w:tcPr>
          <w:p>
            <w:pPr>
              <w:jc w:val="center"/>
            </w:pPr>
            <w:bookmarkStart w:id="72" w:name="地面反射比"/>
            <w:r>
              <w:rPr>
                <w:rFonts w:hint="eastAsia"/>
              </w:rPr>
              <w:t>0.30</w:t>
            </w:r>
            <w:bookmarkEnd w:id="72"/>
          </w:p>
        </w:tc>
        <w:tc>
          <w:tcPr>
            <w:tcW w:w="1661" w:type="dxa"/>
            <w:tcBorders>
              <w:top w:val="single" w:color="auto" w:sz="4" w:space="0"/>
            </w:tcBorders>
            <w:vAlign w:val="center"/>
          </w:tcPr>
          <w:p>
            <w:pPr>
              <w:jc w:val="center"/>
            </w:pPr>
            <w:bookmarkStart w:id="73" w:name="墙面反射比"/>
            <w:r>
              <w:rPr>
                <w:rFonts w:hint="eastAsia"/>
              </w:rPr>
              <w:t>0.60</w:t>
            </w:r>
            <w:bookmarkEnd w:id="73"/>
          </w:p>
        </w:tc>
        <w:tc>
          <w:tcPr>
            <w:tcW w:w="1662" w:type="dxa"/>
            <w:tcBorders>
              <w:top w:val="single" w:color="auto" w:sz="4" w:space="0"/>
            </w:tcBorders>
            <w:vAlign w:val="center"/>
          </w:tcPr>
          <w:p>
            <w:pPr>
              <w:jc w:val="center"/>
            </w:pPr>
            <w:bookmarkStart w:id="74" w:name="外表面反射比"/>
            <w:r>
              <w:rPr>
                <w:rFonts w:hint="eastAsia"/>
              </w:rPr>
              <w:t>0.30</w:t>
            </w:r>
            <w:bookmarkEnd w:id="74"/>
          </w:p>
        </w:tc>
      </w:tr>
    </w:tbl>
    <w:p>
      <w:pPr>
        <w:pStyle w:val="14"/>
        <w:spacing w:line="360" w:lineRule="auto"/>
        <w:ind w:firstLine="360"/>
        <w:rPr>
          <w:rFonts w:ascii="Times New Roman" w:hAnsi="Times New Roman"/>
          <w:sz w:val="18"/>
          <w:szCs w:val="18"/>
        </w:rPr>
      </w:pPr>
    </w:p>
    <w:p>
      <w:pPr>
        <w:pStyle w:val="4"/>
      </w:pPr>
      <w:bookmarkStart w:id="75" w:name="_Toc24338"/>
      <w:r>
        <w:rPr>
          <w:rFonts w:hint="eastAsia"/>
        </w:rPr>
        <w:t>门窗类型参数</w:t>
      </w:r>
      <w:bookmarkEnd w:id="75"/>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6" w:name="_Toc21426"/>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C0615</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C0815</w:t>
            </w:r>
          </w:p>
        </w:tc>
        <w:tc>
          <w:tcPr>
            <w:vAlign w:val="center"/>
          </w:tcPr>
          <w:p>
            <w:pPr>
              <w:jc w:val="center"/>
              <w:rPr>
                <w:sz w:val="18"/>
                <w:szCs w:val="18"/>
              </w:rPr>
            </w:pPr>
            <w:r>
              <w:rPr>
                <w:sz w:val="18"/>
                <w:szCs w:val="18"/>
              </w:rPr>
              <w:t>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C1214</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C1223</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C1232</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C12480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C1514</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C1523</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C1542</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4200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C1823</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C1832</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3200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C18632</w:t>
            </w:r>
          </w:p>
        </w:tc>
        <w:tc>
          <w:tcPr>
            <w:vAlign w:val="center"/>
          </w:tcPr>
          <w:p>
            <w:pPr>
              <w:jc w:val="center"/>
              <w:rPr>
                <w:sz w:val="18"/>
                <w:szCs w:val="18"/>
              </w:rPr>
            </w:pPr>
            <w:r>
              <w:rPr>
                <w:sz w:val="18"/>
                <w:szCs w:val="18"/>
              </w:rPr>
              <w:t>18600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C2414</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C2415</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C2423</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MD12530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MD1824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MQ22200</w:t>
            </w:r>
          </w:p>
        </w:tc>
        <w:tc>
          <w:tcPr>
            <w:vAlign w:val="center"/>
          </w:tcPr>
          <w:p>
            <w:pPr>
              <w:jc w:val="center"/>
              <w:rPr>
                <w:sz w:val="18"/>
                <w:szCs w:val="18"/>
              </w:rPr>
            </w:pPr>
            <w:r>
              <w:rPr>
                <w:sz w:val="18"/>
                <w:szCs w:val="18"/>
              </w:rPr>
              <w:t>2200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8" w:name="_Toc18159"/>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80" w:name="窗污染折减系数"/>
      <w:bookmarkEnd w:id="80"/>
    </w:p>
    <w:p>
      <w:pPr>
        <w:pStyle w:val="2"/>
        <w:ind w:left="432" w:hanging="432"/>
      </w:pPr>
      <w:bookmarkStart w:id="81" w:name="_Toc19788"/>
      <w:r>
        <w:rPr>
          <w:rFonts w:hint="eastAsia"/>
        </w:rPr>
        <w:t>动态采光达标统计</w:t>
      </w:r>
      <w:bookmarkEnd w:id="81"/>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319.18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1453.87</w:t>
            </w:r>
          </w:p>
        </w:tc>
        <w:tc>
          <w:tcPr>
            <w:gridSpan w:val="2"/>
            <w:vAlign w:val="center"/>
          </w:tcPr>
          <w:p>
            <w:pPr>
              <w:jc w:val="center"/>
              <w:rPr>
                <w:sz w:val="18"/>
                <w:szCs w:val="18"/>
              </w:rPr>
            </w:pPr>
            <w:r>
              <w:rPr>
                <w:sz w:val="18"/>
                <w:szCs w:val="18"/>
              </w:rPr>
              <w:t>58</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303.06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242.31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165.12</w:t>
            </w:r>
          </w:p>
        </w:tc>
        <w:tc>
          <w:tcPr>
            <w:gridSpan w:val="2"/>
            <w:vAlign w:val="center"/>
          </w:tcPr>
          <w:p>
            <w:pPr>
              <w:jc w:val="center"/>
              <w:rPr>
                <w:sz w:val="18"/>
                <w:szCs w:val="18"/>
              </w:rPr>
            </w:pPr>
            <w:r>
              <w:rPr>
                <w:sz w:val="18"/>
                <w:szCs w:val="18"/>
              </w:rPr>
              <w:t>12</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1109[实验教室]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88.32</w:t>
            </w:r>
          </w:p>
        </w:tc>
        <w:tc>
          <w:tcPr>
            <w:gridSpan w:val="2"/>
            <w:vAlign w:val="center"/>
          </w:tcPr>
          <w:p>
            <w:pPr>
              <w:jc w:val="center"/>
              <w:rPr>
                <w:sz w:val="18"/>
                <w:szCs w:val="18"/>
              </w:rPr>
            </w:pPr>
            <w:r>
              <w:rPr>
                <w:sz w:val="18"/>
                <w:szCs w:val="18"/>
              </w:rPr>
              <w:t>1</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1110[大厅]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71.98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1111[大厅]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64.95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375.07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354.50</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326.23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304.60</w:t>
            </w:r>
          </w:p>
        </w:tc>
        <w:tc>
          <w:tcPr>
            <w:gridSpan w:val="2"/>
            <w:vAlign w:val="center"/>
          </w:tcPr>
          <w:p>
            <w:pPr>
              <w:jc w:val="center"/>
              <w:rPr>
                <w:sz w:val="18"/>
                <w:szCs w:val="18"/>
              </w:rPr>
            </w:pPr>
            <w:r>
              <w:rPr>
                <w:sz w:val="18"/>
                <w:szCs w:val="18"/>
              </w:rPr>
              <w:t>44</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304.20</w:t>
            </w:r>
          </w:p>
        </w:tc>
        <w:tc>
          <w:tcPr>
            <w:gridSpan w:val="2"/>
            <w:vAlign w:val="center"/>
          </w:tcPr>
          <w:p>
            <w:pPr>
              <w:jc w:val="center"/>
              <w:rPr>
                <w:sz w:val="18"/>
                <w:szCs w:val="18"/>
              </w:rPr>
            </w:pPr>
            <w:r>
              <w:rPr>
                <w:sz w:val="18"/>
                <w:szCs w:val="18"/>
              </w:rPr>
              <w:t>33</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229.12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2109[实验教室]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219.05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2110[实验教室]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188.41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148.80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147.80</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137.32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80.15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3</w:t>
            </w:r>
          </w:p>
        </w:tc>
        <w:tc>
          <w:tcPr>
            <w:gridSpan w:val="2"/>
            <w:vAlign w:val="center"/>
          </w:tcPr>
          <w:p>
            <w:pPr>
              <w:jc w:val="center"/>
              <w:rPr>
                <w:sz w:val="18"/>
                <w:szCs w:val="18"/>
              </w:rPr>
            </w:pPr>
            <w:r>
              <w:rPr>
                <w:sz w:val="18"/>
                <w:szCs w:val="18"/>
              </w:rPr>
              <w:t>3002[实验教室]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82.63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3102[普通办公室]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675.27</w:t>
            </w:r>
          </w:p>
        </w:tc>
        <w:tc>
          <w:tcPr>
            <w:gridSpan w:val="2"/>
            <w:vAlign w:val="center"/>
          </w:tcPr>
          <w:p>
            <w:pPr>
              <w:jc w:val="center"/>
              <w:rPr>
                <w:sz w:val="18"/>
                <w:szCs w:val="18"/>
              </w:rPr>
            </w:pPr>
            <w:r>
              <w:rPr>
                <w:sz w:val="18"/>
                <w:szCs w:val="18"/>
              </w:rPr>
              <w:t>40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137.45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160.66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114.76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3109[实验教室]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108.48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3112[实验教室]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80.15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3113[实验教室]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79.94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3114[普通办公室]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79.04</w:t>
            </w:r>
          </w:p>
        </w:tc>
        <w:tc>
          <w:tcPr>
            <w:gridSpan w:val="2"/>
            <w:vAlign w:val="center"/>
          </w:tcPr>
          <w:p>
            <w:pPr>
              <w:jc w:val="center"/>
              <w:rPr>
                <w:sz w:val="18"/>
                <w:szCs w:val="18"/>
              </w:rPr>
            </w:pPr>
            <w:r>
              <w:rPr>
                <w:sz w:val="18"/>
                <w:szCs w:val="18"/>
              </w:rPr>
              <w:t>5</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3115[实验教室]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71.55</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3120[普通办公室]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3121[普通办公室]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3122[普通办公室]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2</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3</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1</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61.72</w:t>
            </w:r>
          </w:p>
        </w:tc>
        <w:tc>
          <w:tcPr>
            <w:gridSpan w:val="2"/>
            <w:vAlign w:val="center"/>
          </w:tcPr>
          <w:p>
            <w:pPr>
              <w:jc w:val="center"/>
              <w:rPr>
                <w:sz w:val="18"/>
                <w:szCs w:val="18"/>
              </w:rPr>
            </w:pPr>
            <w:r>
              <w:rPr>
                <w:sz w:val="18"/>
                <w:szCs w:val="18"/>
              </w:rPr>
              <w:t>7</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39.65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3129[普通办公室]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37.12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4</w:t>
            </w:r>
          </w:p>
        </w:tc>
        <w:tc>
          <w:tcPr>
            <w:gridSpan w:val="2"/>
            <w:vAlign w:val="center"/>
          </w:tcPr>
          <w:p>
            <w:pPr>
              <w:jc w:val="center"/>
              <w:rPr>
                <w:sz w:val="18"/>
                <w:szCs w:val="18"/>
              </w:rPr>
            </w:pPr>
            <w:r>
              <w:rPr>
                <w:sz w:val="18"/>
                <w:szCs w:val="18"/>
              </w:rPr>
              <w:t>4002[实验教室]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82.63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54.59</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4103[实验教室]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69.06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4104[实验教室]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142.12</w:t>
            </w:r>
          </w:p>
        </w:tc>
        <w:tc>
          <w:tcPr>
            <w:gridSpan w:val="2"/>
            <w:vAlign w:val="center"/>
          </w:tcPr>
          <w:p>
            <w:pPr>
              <w:jc w:val="center"/>
              <w:rPr>
                <w:sz w:val="18"/>
                <w:szCs w:val="18"/>
              </w:rPr>
            </w:pPr>
            <w:r>
              <w:rPr>
                <w:sz w:val="18"/>
                <w:szCs w:val="18"/>
              </w:rPr>
              <w:t>90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4107[实验教室]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113.80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79.94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80.15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79.94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79.22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76.71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66.88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4129[实验教室]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61.72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4130[实验教室]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52.22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4132[实验教室]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39.66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4133[实验教室]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37.91</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5</w:t>
            </w:r>
          </w:p>
        </w:tc>
        <w:tc>
          <w:tcPr>
            <w:gridSpan w:val="2"/>
            <w:vAlign w:val="center"/>
          </w:tcPr>
          <w:p>
            <w:pPr>
              <w:jc w:val="center"/>
              <w:rPr>
                <w:sz w:val="18"/>
                <w:szCs w:val="18"/>
              </w:rPr>
            </w:pPr>
            <w:r>
              <w:rPr>
                <w:sz w:val="18"/>
                <w:szCs w:val="18"/>
              </w:rPr>
              <w:t>5002[实验教室]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82.81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5003[实验教室]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68.97</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5104[计算机房]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224.52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5105[大厅]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160.99</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69.06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5107[计算机房]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126.72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118.23</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5109[计算机房]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101.12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5110[实验教室]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82.56</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80.20</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80.20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80.28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80.20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5115[计算机房]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79.98</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79.38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76.71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66.87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5119[计算机房]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66.87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62.72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61.72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54.72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5128[计算机房]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52.48</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5129[档案室]</w:t>
            </w:r>
          </w:p>
        </w:tc>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51.28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5131[实验教室]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39.65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18"/>
                <w:szCs w:val="18"/>
              </w:rPr>
            </w:pPr>
            <w:r>
              <w:rPr>
                <w:sz w:val="18"/>
                <w:szCs w:val="18"/>
              </w:rPr>
              <w:t>房间类型</w:t>
            </w:r>
          </w:p>
        </w:tc>
        <w:tc>
          <w:tcPr>
            <w:gridSpan w:val="2"/>
            <w:shd w:val="clear" w:color="auto" w:fill="E6E6E6"/>
            <w:vAlign w:val="center"/>
          </w:tcPr>
          <w:p>
            <w:pPr>
              <w:jc w:val="center"/>
              <w:rPr>
                <w:sz w:val="18"/>
                <w:szCs w:val="18"/>
              </w:rPr>
            </w:pPr>
            <w:r>
              <w:rPr>
                <w:sz w:val="18"/>
                <w:szCs w:val="18"/>
              </w:rPr>
              <w:t>采光类型</w:t>
            </w:r>
          </w:p>
        </w:tc>
        <w:tc>
          <w:tcPr>
            <w:gridSpan w:val="2"/>
            <w:shd w:val="clear" w:color="auto" w:fill="E6E6E6"/>
            <w:vAlign w:val="center"/>
          </w:tcPr>
          <w:p>
            <w:pPr>
              <w:jc w:val="center"/>
              <w:rPr>
                <w:sz w:val="18"/>
                <w:szCs w:val="18"/>
              </w:rPr>
            </w:pPr>
            <w:r>
              <w:rPr>
                <w:sz w:val="18"/>
                <w:szCs w:val="18"/>
              </w:rPr>
              <w:t>设计照度(Lx)</w:t>
            </w:r>
          </w:p>
        </w:tc>
        <w:tc>
          <w:tcPr>
            <w:gridSpan w:val="3"/>
            <w:shd w:val="clear" w:color="auto" w:fill="E6E6E6"/>
            <w:vAlign w:val="center"/>
          </w:tcPr>
          <w:p>
            <w:pPr>
              <w:jc w:val="center"/>
              <w:rPr>
                <w:sz w:val="18"/>
                <w:szCs w:val="18"/>
              </w:rPr>
            </w:pPr>
            <w:r>
              <w:rPr>
                <w:sz w:val="18"/>
                <w:szCs w:val="18"/>
              </w:rPr>
              <w:t>总面积(m2)</w:t>
            </w:r>
          </w:p>
        </w:tc>
        <w:tc>
          <w:tcPr>
            <w:gridSpan w:val="3"/>
            <w:shd w:val="clear" w:color="auto" w:fill="E6E6E6"/>
            <w:vAlign w:val="center"/>
          </w:tcPr>
          <w:p>
            <w:pPr>
              <w:jc w:val="center"/>
              <w:rPr>
                <w:sz w:val="18"/>
                <w:szCs w:val="18"/>
              </w:rPr>
            </w:pPr>
            <w:r>
              <w:rPr>
                <w:sz w:val="18"/>
                <w:szCs w:val="18"/>
              </w:rPr>
              <w:t>达标面积比例(%)</w:t>
            </w:r>
          </w:p>
        </w:tc>
        <w:tc>
          <w:tcPr>
            <w:gridSpan w:val="3"/>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7743.26</w:t>
            </w:r>
          </w:p>
        </w:tc>
        <w:tc>
          <w:tcPr>
            <w:gridSpan w:val="3"/>
            <w:vAlign w:val="center"/>
          </w:tcPr>
          <w:p>
            <w:pPr>
              <w:jc w:val="center"/>
              <w:rPr>
                <w:sz w:val="18"/>
                <w:szCs w:val="18"/>
              </w:rPr>
            </w:pPr>
            <w:r>
              <w:rPr>
                <w:sz w:val="18"/>
                <w:szCs w:val="18"/>
              </w:rPr>
              <w:t>73</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136.93</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gridSpan w:val="3"/>
            <w:vAlign w:val="center"/>
          </w:tcPr>
          <w:p>
            <w:pPr>
              <w:jc w:val="center"/>
              <w:rPr>
                <w:sz w:val="18"/>
                <w:szCs w:val="18"/>
              </w:rPr>
            </w:pPr>
            <w:r>
              <w:rPr>
                <w:sz w:val="18"/>
                <w:szCs w:val="18"/>
              </w:rPr>
              <w:t>407.47</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675.27</w:t>
            </w:r>
          </w:p>
        </w:tc>
        <w:tc>
          <w:tcPr>
            <w:gridSpan w:val="3"/>
            <w:vAlign w:val="center"/>
          </w:tcPr>
          <w:p>
            <w:pPr>
              <w:jc w:val="center"/>
              <w:rPr>
                <w:sz w:val="18"/>
                <w:szCs w:val="18"/>
              </w:rPr>
            </w:pPr>
            <w:r>
              <w:rPr>
                <w:sz w:val="18"/>
                <w:szCs w:val="18"/>
              </w:rPr>
              <w:t>40</w:t>
            </w:r>
          </w:p>
        </w:tc>
        <w:tc>
          <w:tcPr>
            <w:gridSpan w:val="3"/>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79.04</w:t>
            </w:r>
          </w:p>
        </w:tc>
        <w:tc>
          <w:tcPr>
            <w:gridSpan w:val="3"/>
            <w:vAlign w:val="center"/>
          </w:tcPr>
          <w:p>
            <w:pPr>
              <w:jc w:val="center"/>
              <w:rPr>
                <w:sz w:val="18"/>
                <w:szCs w:val="18"/>
              </w:rPr>
            </w:pPr>
            <w:r>
              <w:rPr>
                <w:sz w:val="18"/>
                <w:szCs w:val="18"/>
              </w:rPr>
              <w:t>5</w:t>
            </w:r>
          </w:p>
        </w:tc>
        <w:tc>
          <w:tcPr>
            <w:gridSpan w:val="3"/>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975.99</w:t>
            </w:r>
          </w:p>
        </w:tc>
        <w:tc>
          <w:tcPr>
            <w:gridSpan w:val="3"/>
            <w:vAlign w:val="center"/>
          </w:tcPr>
          <w:p>
            <w:pPr>
              <w:jc w:val="center"/>
              <w:rPr>
                <w:sz w:val="18"/>
                <w:szCs w:val="18"/>
              </w:rPr>
            </w:pPr>
            <w:r>
              <w:rPr>
                <w:sz w:val="18"/>
                <w:szCs w:val="18"/>
              </w:rPr>
              <w:t>1</w:t>
            </w:r>
          </w:p>
        </w:tc>
        <w:tc>
          <w:tcPr>
            <w:gridSpan w:val="3"/>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225.28</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452.36</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160.99</w:t>
            </w:r>
          </w:p>
        </w:tc>
        <w:tc>
          <w:tcPr>
            <w:gridSpan w:val="3"/>
            <w:vAlign w:val="center"/>
          </w:tcPr>
          <w:p>
            <w:pPr>
              <w:jc w:val="center"/>
              <w:rPr>
                <w:sz w:val="18"/>
                <w:szCs w:val="18"/>
              </w:rPr>
            </w:pPr>
            <w:r>
              <w:rPr>
                <w:sz w:val="18"/>
                <w:szCs w:val="18"/>
              </w:rPr>
              <w:t>0</w:t>
            </w:r>
          </w:p>
        </w:tc>
        <w:tc>
          <w:tcPr>
            <w:gridSpan w:val="3"/>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132.46</w:t>
            </w:r>
          </w:p>
        </w:tc>
        <w:tc>
          <w:tcPr>
            <w:gridSpan w:val="3"/>
            <w:vAlign w:val="center"/>
          </w:tcPr>
          <w:p>
            <w:pPr>
              <w:jc w:val="center"/>
              <w:rPr>
                <w:sz w:val="18"/>
                <w:szCs w:val="18"/>
              </w:rPr>
            </w:pPr>
            <w:r>
              <w:rPr>
                <w:sz w:val="18"/>
                <w:szCs w:val="18"/>
              </w:rPr>
              <w:t>0</w:t>
            </w:r>
          </w:p>
        </w:tc>
        <w:tc>
          <w:tcPr>
            <w:gridSpan w:val="3"/>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gridSpan w:val="3"/>
            <w:vAlign w:val="center"/>
          </w:tcPr>
          <w:p>
            <w:pPr>
              <w:jc w:val="center"/>
              <w:rPr>
                <w:sz w:val="18"/>
                <w:szCs w:val="18"/>
              </w:rPr>
            </w:pPr>
            <w:r>
              <w:rPr>
                <w:sz w:val="18"/>
                <w:szCs w:val="18"/>
              </w:rPr>
              <w:t>66.87</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51.28</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rPr>
                <w:sz w:val="18"/>
                <w:szCs w:val="18"/>
              </w:rPr>
            </w:pPr>
            <w:r>
              <w:rPr>
                <w:sz w:val="18"/>
                <w:szCs w:val="18"/>
              </w:rPr>
              <w:t>多区域面积加权平均</w:t>
            </w:r>
          </w:p>
        </w:tc>
        <w:tc>
          <w:tcPr>
            <w:gridSpan w:val="3"/>
            <w:vAlign w:val="center"/>
          </w:tcPr>
          <w:p>
            <w:pPr>
              <w:jc w:val="center"/>
              <w:rPr>
                <w:sz w:val="18"/>
                <w:szCs w:val="18"/>
              </w:rPr>
            </w:pPr>
            <w:r>
              <w:rPr>
                <w:sz w:val="18"/>
                <w:szCs w:val="18"/>
              </w:rPr>
              <w:t>66</w:t>
            </w:r>
          </w:p>
        </w:tc>
        <w:tc>
          <w:tcPr>
            <w:gridSpan w:val="3"/>
            <w:vAlign w:val="center"/>
          </w:tcPr>
          <w:p>
            <w:pPr>
              <w:jc w:val="center"/>
              <w:rPr>
                <w:sz w:val="18"/>
                <w:szCs w:val="18"/>
              </w:rPr>
            </w:pPr>
            <w:r>
              <w:rPr>
                <w:b/>
                <w:sz w:val="18"/>
                <w:szCs w:val="18"/>
              </w:rPr>
              <w:t>3分</w:t>
            </w:r>
          </w:p>
        </w:tc>
      </w:tr>
    </w:tbl>
    <w:p>
      <w:pPr>
        <w:pStyle w:val="3"/>
        <w:rPr>
          <w:rFonts w:ascii="宋体" w:hAnsi="宋体"/>
          <w:sz w:val="18"/>
          <w:szCs w:val="18"/>
          <w:lang w:val="en-US"/>
        </w:rPr>
      </w:pPr>
      <w:bookmarkStart w:id="82" w:name="达标率表格"/>
      <w:bookmarkEnd w:id="82"/>
    </w:p>
    <w:p>
      <w:pPr>
        <w:pStyle w:val="2"/>
        <w:ind w:left="432" w:hanging="432"/>
      </w:pPr>
      <w:bookmarkStart w:id="83" w:name="_Toc513555457"/>
      <w:bookmarkStart w:id="84" w:name="_Toc24486"/>
      <w:r>
        <w:rPr>
          <w:rFonts w:hint="eastAsia"/>
        </w:rPr>
        <w:t>动态采光</w:t>
      </w:r>
      <w:bookmarkEnd w:id="83"/>
      <w:r>
        <w:rPr>
          <w:rFonts w:hint="eastAsia"/>
        </w:rPr>
        <w:t>统计图</w:t>
      </w:r>
      <w:bookmarkEnd w:id="84"/>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5" w:name="逐日统计图"/>
      <w:bookmarkEnd w:id="85"/>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6" w:name="逐月统计图"/>
      <w:bookmarkEnd w:id="86"/>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Pr>
        <w:pStyle w:val="2"/>
        <w:ind w:left="432" w:hanging="432"/>
      </w:pPr>
      <w:bookmarkStart w:id="87" w:name="_Toc10042"/>
      <w:bookmarkStart w:id="88" w:name="动态采光彩图"/>
      <w:r>
        <w:t>动态采光彩图</w:t>
      </w:r>
      <w:bookmarkEnd w:id="87"/>
      <w:bookmarkEnd w:id="88"/>
    </w:p>
    <w:p>
      <w:pPr>
        <w:jc w:val="center"/>
      </w:pPr>
      <w:r>
        <w:drawing>
          <wp:inline distT="0" distB="0" distL="0" distR="0">
            <wp:extent cx="5667375" cy="4714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4714875"/>
                    </a:xfrm>
                    <a:prstGeom prst="rect">
                      <a:avLst/>
                    </a:prstGeom>
                  </pic:spPr>
                </pic:pic>
              </a:graphicData>
            </a:graphic>
          </wp:inline>
        </w:drawing>
      </w:r>
    </w:p>
    <w:p>
      <w:pPr>
        <w:jc w:val="center"/>
      </w:pPr>
      <w:r>
        <w:t>1层</w:t>
      </w:r>
    </w:p>
    <w:p>
      <w:pPr>
        <w:jc w:val="center"/>
      </w:pPr>
      <w:r>
        <w:drawing>
          <wp:inline distT="0" distB="0" distL="0" distR="0">
            <wp:extent cx="5667375" cy="47053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705350"/>
                    </a:xfrm>
                    <a:prstGeom prst="rect">
                      <a:avLst/>
                    </a:prstGeom>
                  </pic:spPr>
                </pic:pic>
              </a:graphicData>
            </a:graphic>
          </wp:inline>
        </w:drawing>
      </w:r>
    </w:p>
    <w:p>
      <w:pPr>
        <w:jc w:val="center"/>
      </w:pPr>
      <w:r>
        <w:t>2层</w:t>
      </w:r>
    </w:p>
    <w:p>
      <w:pPr>
        <w:jc w:val="center"/>
      </w:pPr>
      <w:r>
        <w:drawing>
          <wp:inline distT="0" distB="0" distL="0" distR="0">
            <wp:extent cx="5667375" cy="31527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3152775"/>
                    </a:xfrm>
                    <a:prstGeom prst="rect">
                      <a:avLst/>
                    </a:prstGeom>
                  </pic:spPr>
                </pic:pic>
              </a:graphicData>
            </a:graphic>
          </wp:inline>
        </w:drawing>
      </w:r>
    </w:p>
    <w:p>
      <w:pPr>
        <w:jc w:val="center"/>
      </w:pPr>
      <w:r>
        <w:t>3层</w:t>
      </w:r>
    </w:p>
    <w:p>
      <w:pPr>
        <w:jc w:val="center"/>
      </w:pPr>
      <w:r>
        <w:drawing>
          <wp:inline distT="0" distB="0" distL="0" distR="0">
            <wp:extent cx="5667375" cy="3152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3152775"/>
                    </a:xfrm>
                    <a:prstGeom prst="rect">
                      <a:avLst/>
                    </a:prstGeom>
                  </pic:spPr>
                </pic:pic>
              </a:graphicData>
            </a:graphic>
          </wp:inline>
        </w:drawing>
      </w:r>
    </w:p>
    <w:p>
      <w:pPr>
        <w:jc w:val="center"/>
      </w:pPr>
      <w:r>
        <w:t>4层</w:t>
      </w:r>
    </w:p>
    <w:p>
      <w:pPr>
        <w:jc w:val="center"/>
      </w:pPr>
      <w:r>
        <w:drawing>
          <wp:inline distT="0" distB="0" distL="0" distR="0">
            <wp:extent cx="5667375" cy="31527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3152775"/>
                    </a:xfrm>
                    <a:prstGeom prst="rect">
                      <a:avLst/>
                    </a:prstGeom>
                  </pic:spPr>
                </pic:pic>
              </a:graphicData>
            </a:graphic>
          </wp:inline>
        </w:drawing>
      </w:r>
    </w:p>
    <w:p>
      <w:pPr>
        <w:jc w:val="center"/>
      </w:pPr>
      <w:r>
        <w:t>5层</w:t>
      </w:r>
    </w:p>
    <w:p>
      <w:pPr>
        <w:jc w:val="center"/>
      </w:pPr>
    </w:p>
    <w:p>
      <w:pPr>
        <w:pStyle w:val="2"/>
        <w:ind w:left="432" w:hanging="432"/>
      </w:pPr>
      <w:bookmarkStart w:id="89" w:name="_Toc18373"/>
      <w:r>
        <w:rPr>
          <w:rFonts w:hint="eastAsia"/>
        </w:rPr>
        <w:t>评价结论</w:t>
      </w:r>
      <w:bookmarkEnd w:id="89"/>
    </w:p>
    <w:p>
      <w:pPr>
        <w:pStyle w:val="3"/>
        <w:ind w:firstLine="420" w:firstLineChars="200"/>
      </w:pPr>
      <w:bookmarkStart w:id="90" w:name="标准名称3"/>
      <w:r>
        <w:t>《绿色建筑评价标准》GB/T 50378-2019</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pPr>
            <w:r>
              <w:t>采光总面积（</w:t>
            </w:r>
            <w:r>
              <w:rPr>
                <w:rFonts w:hint="eastAsia"/>
              </w:rPr>
              <w:t>m</w:t>
            </w:r>
            <w:r>
              <w:rPr>
                <w:vertAlign w:val="superscript"/>
              </w:rPr>
              <w:t>2</w:t>
            </w:r>
            <w:r>
              <w:t>）</w:t>
            </w:r>
          </w:p>
        </w:tc>
        <w:tc>
          <w:tcPr>
            <w:tcW w:w="2528" w:type="dxa"/>
            <w:shd w:val="clear" w:color="auto" w:fill="E6E6E6"/>
            <w:vAlign w:val="center"/>
          </w:tcPr>
          <w:p>
            <w:pPr>
              <w:jc w:val="center"/>
            </w:pPr>
            <w:bookmarkStart w:id="91" w:name="动态评价指标"/>
            <w:r>
              <w:rPr>
                <w:rFonts w:hint="eastAsia"/>
              </w:rPr>
              <w:t>达标面积比例(%)</w:t>
            </w:r>
            <w:bookmarkEnd w:id="91"/>
          </w:p>
        </w:tc>
        <w:tc>
          <w:tcPr>
            <w:tcW w:w="2126" w:type="dxa"/>
            <w:shd w:val="clear" w:color="auto" w:fill="E6E6E6"/>
            <w:vAlign w:val="center"/>
          </w:tcPr>
          <w:p>
            <w:pPr>
              <w:jc w:val="cente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3" w:name="采光面积"/>
            <w:r>
              <w:t>11107.20</w:t>
            </w:r>
            <w:bookmarkEnd w:id="93"/>
          </w:p>
        </w:tc>
        <w:tc>
          <w:tcPr>
            <w:tcW w:w="2528" w:type="dxa"/>
            <w:vAlign w:val="center"/>
          </w:tcPr>
          <w:p>
            <w:pPr>
              <w:pStyle w:val="3"/>
              <w:jc w:val="center"/>
            </w:pPr>
            <w:bookmarkStart w:id="94" w:name="平均时数"/>
            <w:r>
              <w:t>66</w:t>
            </w:r>
            <w:bookmarkEnd w:id="94"/>
          </w:p>
        </w:tc>
        <w:tc>
          <w:tcPr>
            <w:tcW w:w="2126" w:type="dxa"/>
            <w:vAlign w:val="center"/>
          </w:tcPr>
          <w:p>
            <w:pPr>
              <w:pStyle w:val="3"/>
              <w:jc w:val="center"/>
            </w:pPr>
            <w:bookmarkStart w:id="95" w:name="动态评价指标要求"/>
            <w:r>
              <w:rPr>
                <w:rFonts w:hint="eastAsia"/>
              </w:rPr>
              <w:t>60</w:t>
            </w:r>
            <w:bookmarkEnd w:id="95"/>
          </w:p>
        </w:tc>
        <w:tc>
          <w:tcPr>
            <w:tcW w:w="1855" w:type="dxa"/>
            <w:vAlign w:val="center"/>
          </w:tcPr>
          <w:p>
            <w:pPr>
              <w:pStyle w:val="3"/>
              <w:jc w:val="center"/>
            </w:pPr>
            <w:bookmarkStart w:id="96" w:name="动态采光得分"/>
            <w:r>
              <w:rPr>
                <w:rFonts w:hint="eastAsia"/>
              </w:rPr>
              <w:t>3</w:t>
            </w:r>
            <w:bookmarkEnd w:id="96"/>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2929B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52929BC"/>
    <w:rsid w:val="66E87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 w:type="paragraph" w:customStyle="1" w:styleId="41">
    <w:name w:val="wenbenk"/>
    <w:basedOn w:val="1"/>
    <w:qFormat/>
    <w:uiPriority w:val="0"/>
    <w:pPr>
      <w:jc w:val="center"/>
    </w:pPr>
    <w:rPr>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tmp6.dotx</Template>
  <Pages>14</Pages>
  <Words>5180</Words>
  <Characters>7260</Characters>
  <Lines>33</Lines>
  <Paragraphs>9</Paragraphs>
  <TotalTime>0</TotalTime>
  <ScaleCrop>false</ScaleCrop>
  <LinksUpToDate>false</LinksUpToDate>
  <CharactersWithSpaces>8774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2024-12-15T09:24:00Z</dcterms:created>
  <dc:creator>CCbester</dc:creator>
  <cp:lastModifiedBy>T。</cp:lastModifiedBy>
  <dcterms:modified xsi:type="dcterms:W3CDTF">2024-12-27T13:28:39Z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F427E43D401941DF80FB1893ADD89594_11</vt:lpwstr>
  </property>
  <property fmtid="{D5CDD505-2E9C-101B-9397-08002B2CF9AE}" pid="3" name="KSOProductBuildVer">
    <vt:lpwstr>2052-11.1.0.10009</vt:lpwstr>
  </property>
</Properties>
</file>