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长沙某办公楼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湖南-长沙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YBB70008</w:t>
            </w:r>
            <w:bookmarkStart w:id="52" w:name="_GoBack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2024年11月28日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T18890004197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_Toc13379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_Toc13753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_Toc18964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_Toc7676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_Toc7625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_Toc24708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_Toc29667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_Toc323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_Toc13338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_Toc13920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_Toc7199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_Toc11873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_Toc20879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_Toc11478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_Toc5246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_Toc22849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134610461"/>
      <w:bookmarkStart w:id="15" w:name="_Toc13379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长沙某办公楼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湖南-长沙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21361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796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26.1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96842.19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21794.54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1375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8964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00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00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53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00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243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7676"/>
      <w:r>
        <w:rPr>
          <w:kern w:val="2"/>
          <w:szCs w:val="24"/>
          <w:lang w:val="en-US"/>
        </w:rPr>
        <w:t>规定性指标检查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762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5346.4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加气混凝土砌块墙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1087.6</w:t>
            </w:r>
          </w:p>
        </w:tc>
        <w:tc>
          <w:tcPr>
            <w:vAlign w:val="center"/>
          </w:tcPr>
          <w:p>
            <w:r>
              <w:t>0.0111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580.0</w:t>
            </w:r>
          </w:p>
        </w:tc>
        <w:tc>
          <w:tcPr>
            <w:vAlign w:val="center"/>
          </w:tcPr>
          <w:p>
            <w:r>
              <w:t>5823.6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1062.3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1106.5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4708"/>
      <w:r>
        <w:rPr>
          <w:kern w:val="2"/>
          <w:szCs w:val="24"/>
          <w:lang w:val="en-US"/>
        </w:rPr>
        <w:t>围护结构作法简要说明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屋顶构造一（上人倒置式屋面） (K=0.383,D=4.157)：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C20细石混凝土保护层，内配Φ4@100双向钢筋网片 50mm＋干铺聚酯无纺布一层 0mm＋</w:t>
      </w:r>
      <w:r>
        <w:rPr>
          <w:color w:val="800000"/>
          <w:kern w:val="2"/>
          <w:szCs w:val="24"/>
          <w:lang w:val="en-US"/>
        </w:rPr>
        <w:t>难燃型挤塑聚苯板 85mm</w:t>
      </w:r>
      <w:r>
        <w:rPr>
          <w:color w:val="000000"/>
          <w:kern w:val="2"/>
          <w:szCs w:val="24"/>
          <w:lang w:val="en-US"/>
        </w:rPr>
        <w:t>＋SBS改性沥青防水卷材 3mm＋非固化橡胶沥青防水涂料 2mm＋1：2.5水泥砂浆 20mm＋粉煤灰陶粒混凝土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(K=0.716,D=4.104)：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岩棉保温装饰复合一体板 45mm</w:t>
      </w:r>
      <w:r>
        <w:rPr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color w:val="800080"/>
          <w:kern w:val="2"/>
          <w:szCs w:val="24"/>
          <w:lang w:val="en-US"/>
        </w:rPr>
        <w:t>重砂浆砌筑烧结页岩多孔砖/空心砖墙 200mm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(K=0.660,D=2.836)：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30mm＋</w:t>
      </w:r>
      <w:r>
        <w:rPr>
          <w:color w:val="800000"/>
          <w:kern w:val="2"/>
          <w:szCs w:val="24"/>
          <w:lang w:val="en-US"/>
        </w:rPr>
        <w:t>岩棉保温装饰复合一体板 55mm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断桥铝合金型材14.8mm 6 高透光双银 Low-E+12A+6 透明 (K=2.500)：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传热系数2.500W/㎡.K，窗太阳得热系数0.360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隔热金属型材 6中透光Low-E+12空气+6透明 (K=2.600)：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传热系数2.600W/㎡.K，窗太阳得热系数0.400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9667"/>
      <w:r>
        <w:rPr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21794.54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96842.19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2389.26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3522.50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2971.80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25744.01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2788.44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14764.50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5426.11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21161.82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3515.85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3814.36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13711.81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5378.07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3164.15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20974.49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5536.63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485.55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22157.55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21794.54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96842.19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23"/>
      <w:r>
        <w:rPr>
          <w:color w:val="000000"/>
          <w:kern w:val="2"/>
          <w:szCs w:val="24"/>
          <w:lang w:val="en-US"/>
        </w:rPr>
        <w:t>窗墙比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476.58</w:t>
            </w:r>
          </w:p>
        </w:tc>
        <w:tc>
          <w:tcPr>
            <w:vAlign w:val="center"/>
          </w:tcPr>
          <w:p>
            <w:r>
              <w:t>2991.85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490.98</w:t>
            </w:r>
          </w:p>
        </w:tc>
        <w:tc>
          <w:tcPr>
            <w:vAlign w:val="center"/>
          </w:tcPr>
          <w:p>
            <w:r>
              <w:t>3005.65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324.54</w:t>
            </w:r>
          </w:p>
        </w:tc>
        <w:tc>
          <w:tcPr>
            <w:vAlign w:val="center"/>
          </w:tcPr>
          <w:p>
            <w:r>
              <w:t>1846.86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254.46</w:t>
            </w:r>
          </w:p>
        </w:tc>
        <w:tc>
          <w:tcPr>
            <w:vAlign w:val="center"/>
          </w:tcPr>
          <w:p>
            <w:r>
              <w:t>1846.86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</w:t>
            </w:r>
          </w:p>
        </w:tc>
        <w:tc>
          <w:tcPr>
            <w:vMerge w:val="restart"/>
            <w:vAlign w:val="center"/>
          </w:tcPr>
          <w:p>
            <w:r>
              <w:t>476.58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56.70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345.60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</w:t>
            </w:r>
          </w:p>
        </w:tc>
        <w:tc>
          <w:tcPr>
            <w:vMerge w:val="restart"/>
            <w:vAlign w:val="center"/>
          </w:tcPr>
          <w:p>
            <w:r>
              <w:t>490.98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20.25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78.30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181.74</w:t>
            </w:r>
          </w:p>
        </w:tc>
        <w:tc>
          <w:tcPr>
            <w:vMerge w:val="restart"/>
            <w:vAlign w:val="center"/>
          </w:tcPr>
          <w:p>
            <w:r>
              <w:t>324.54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C12480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C1542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C18632</w:t>
            </w:r>
          </w:p>
        </w:tc>
        <w:tc>
          <w:tcPr>
            <w:vAlign w:val="center"/>
          </w:tcPr>
          <w:p>
            <w:r>
              <w:t>18.60×1.50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61.20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MQ22200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24.96</w:t>
            </w:r>
          </w:p>
        </w:tc>
        <w:tc>
          <w:tcPr>
            <w:vMerge w:val="restart"/>
            <w:vAlign w:val="center"/>
          </w:tcPr>
          <w:p>
            <w:r>
              <w:t>254.46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24.30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201.60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338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3920"/>
      <w:r>
        <w:rPr>
          <w:color w:val="000000"/>
          <w:kern w:val="2"/>
          <w:szCs w:val="24"/>
          <w:lang w:val="en-US"/>
        </w:rPr>
        <w:t>屋顶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2.267</w:t>
            </w:r>
          </w:p>
        </w:tc>
        <w:tc>
          <w:tcPr>
            <w:vAlign w:val="center"/>
          </w:tcPr>
          <w:p>
            <w:r>
              <w:t>1.530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2.451</w:t>
            </w:r>
          </w:p>
        </w:tc>
        <w:tc>
          <w:tcPr>
            <w:vAlign w:val="center"/>
          </w:tcPr>
          <w:p>
            <w:r>
              <w:t>4.157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199"/>
      <w:r>
        <w:rPr>
          <w:color w:val="000000"/>
          <w:kern w:val="2"/>
          <w:szCs w:val="24"/>
          <w:lang w:val="en-US"/>
        </w:rPr>
        <w:t>外墙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2.731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292.5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1.238</w:t>
            </w:r>
          </w:p>
        </w:tc>
        <w:tc>
          <w:tcPr>
            <w:vAlign w:val="center"/>
          </w:tcPr>
          <w:p>
            <w:r>
              <w:t>4.104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K应满足表3.1.10-4的规定(K≤0.80)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>K</w:t>
      </w:r>
      <w:r>
        <w:rPr>
          <w:rFonts w:hint="eastAsia" w:ascii="宋体" w:hAnsi="宋体"/>
          <w:i/>
          <w:iCs/>
          <w:spacing w:val="4"/>
          <w:szCs w:val="21"/>
          <w:fitText w:val="4515" w:id="0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hint="eastAsia" w:ascii="宋体" w:hAnsi="宋体"/>
          <w:spacing w:val="4"/>
          <w:szCs w:val="21"/>
          <w:fitText w:val="4515" w:id="0"/>
        </w:rPr>
        <w:t xml:space="preserve">—— 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单元墙体的平均传热系数，W/(m</w:t>
      </w:r>
      <w:r>
        <w:rPr>
          <w:rFonts w:hint="eastAsia" w:ascii="宋体" w:hAnsi="宋体"/>
          <w:color w:val="000000"/>
          <w:spacing w:val="4"/>
          <w:szCs w:val="21"/>
          <w:fitText w:val="4515" w:id="0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K)</w:t>
      </w:r>
      <w:r>
        <w:rPr>
          <w:rFonts w:hint="eastAsia" w:ascii="宋体" w:hAnsi="宋体"/>
          <w:color w:val="000000"/>
          <w:spacing w:val="19"/>
          <w:szCs w:val="21"/>
          <w:fitText w:val="4515" w:id="0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1873"/>
      <w:r>
        <w:rPr>
          <w:color w:val="000000"/>
          <w:kern w:val="2"/>
          <w:szCs w:val="24"/>
          <w:lang w:val="en-US"/>
        </w:rPr>
        <w:t>挑空楼板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1.222</w:t>
            </w:r>
          </w:p>
        </w:tc>
        <w:tc>
          <w:tcPr>
            <w:vAlign w:val="center"/>
          </w:tcPr>
          <w:p>
            <w:r>
              <w:t>0.917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1.356</w:t>
            </w:r>
          </w:p>
        </w:tc>
        <w:tc>
          <w:tcPr>
            <w:vAlign w:val="center"/>
          </w:tcPr>
          <w:p>
            <w:r>
              <w:t>2.836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0879"/>
      <w:r>
        <w:rPr>
          <w:color w:val="000000"/>
          <w:kern w:val="2"/>
          <w:szCs w:val="24"/>
          <w:lang w:val="en-US"/>
        </w:rPr>
        <w:t>外窗热工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隔热金属型材 6中透光Low-E+12空气+6透明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DBJ43-001-2017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幕墙，MQ22200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断桥铝合金型材14.8mm 6 高透光双银 Low-E+12A+6 透明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0.680</w:t>
            </w:r>
          </w:p>
        </w:tc>
        <w:tc>
          <w:tcPr>
            <w:vAlign w:val="center"/>
          </w:tcPr>
          <w:p>
            <w:r>
              <w:t>湖南省居住建筑节能设计标准 DBJ43/T025-2022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C1232，C12480，C1542，C18632，C2415，C2423，C1823，C1515，C1523，C1814，C1832，C2414，C1214，C1223，C1514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56.700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345.600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476.580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78.300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324.000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490.980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181.740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C12480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C1542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C18632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MQ22200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324.540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2.566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24.960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201.600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254.460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56.700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345.600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476.580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14.430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78.300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324.000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490.980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181.740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C12480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C1542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C18632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27.900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61.200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MQ22200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33.000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324.540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0.386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24.960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201.600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254.460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0.364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476.58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490.98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324.54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254.46</w:t>
            </w:r>
          </w:p>
        </w:tc>
        <w:tc>
          <w:tcPr>
            <w:vAlign w:val="center"/>
          </w:tcPr>
          <w:p>
            <w:r>
              <w:t>2.51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1546.56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外窗传热系数和综合太阳得热系数满足表3.1.10-4的要求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478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476.58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490.98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324.54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254.46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5246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C2423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2849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2347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B6B21FE"/>
    <w:rsid w:val="5F92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19</Pages>
  <Words>4256</Words>
  <Characters>8329</Characters>
  <Lines>13</Lines>
  <Paragraphs>3</Paragraphs>
  <TotalTime>0</TotalTime>
  <ScaleCrop>false</ScaleCrop>
  <LinksUpToDate>false</LinksUpToDate>
  <CharactersWithSpaces>8532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2024-11-28T13:05:00Z</dcterms:created>
  <dc:creator>T。</dc:creator>
  <cp:lastModifiedBy>T。</cp:lastModifiedBy>
  <dcterms:modified xsi:type="dcterms:W3CDTF">2024-12-27T13:35:16Z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