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6DEDB3">
      <w:pPr>
        <w:spacing w:line="180" w:lineRule="atLeast"/>
        <w:rPr>
          <w:rFonts w:ascii="宋体" w:hAnsi="宋体"/>
          <w:b/>
          <w:bCs/>
          <w:sz w:val="32"/>
          <w:szCs w:val="32"/>
        </w:rPr>
      </w:pPr>
      <w:bookmarkStart w:id="179" w:name="_GoBack"/>
      <w:bookmarkEnd w:id="179"/>
    </w:p>
    <w:p w14:paraId="22FCAA0F">
      <w:pPr>
        <w:widowControl w:val="0"/>
        <w:spacing w:after="312" w:afterLines="100" w:line="240" w:lineRule="auto"/>
        <w:rPr>
          <w:rFonts w:ascii="宋体" w:hAnsi="宋体"/>
          <w:b/>
          <w:bCs/>
          <w:kern w:val="2"/>
          <w:sz w:val="30"/>
          <w:szCs w:val="24"/>
          <w:lang w:val="en-US"/>
        </w:rPr>
      </w:pPr>
    </w:p>
    <w:p w14:paraId="2AE3479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2205EE04">
      <w:pPr>
        <w:spacing w:before="312" w:beforeLines="100" w:line="180" w:lineRule="atLeast"/>
        <w:jc w:val="center"/>
        <w:rPr>
          <w:rFonts w:ascii="宋体" w:hAnsi="宋体"/>
          <w:bCs/>
          <w:sz w:val="44"/>
          <w:szCs w:val="44"/>
          <w:lang w:val="en-US"/>
        </w:rPr>
      </w:pPr>
    </w:p>
    <w:p w14:paraId="064B427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18BC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97DAC2A">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6565364">
            <w:pPr>
              <w:pStyle w:val="17"/>
              <w:tabs>
                <w:tab w:val="clear" w:pos="4153"/>
                <w:tab w:val="clear" w:pos="8306"/>
              </w:tabs>
              <w:snapToGrid/>
              <w:jc w:val="both"/>
              <w:rPr>
                <w:rFonts w:ascii="宋体" w:hAnsi="宋体"/>
                <w:szCs w:val="21"/>
              </w:rPr>
            </w:pPr>
            <w:bookmarkStart w:id="1" w:name="项目名称"/>
          </w:p>
        </w:tc>
      </w:tr>
      <w:tr w14:paraId="6C86E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699B75">
            <w:pPr>
              <w:jc w:val="both"/>
              <w:rPr>
                <w:rFonts w:ascii="宋体" w:hAnsi="宋体"/>
                <w:szCs w:val="21"/>
              </w:rPr>
            </w:pPr>
            <w:r>
              <w:rPr>
                <w:rFonts w:hint="eastAsia" w:ascii="宋体" w:hAnsi="宋体"/>
                <w:szCs w:val="21"/>
              </w:rPr>
              <w:t>工程地点</w:t>
            </w:r>
          </w:p>
        </w:tc>
        <w:tc>
          <w:tcPr>
            <w:tcW w:w="3780" w:type="dxa"/>
          </w:tcPr>
          <w:p w14:paraId="050F1ACD">
            <w:pPr>
              <w:jc w:val="both"/>
              <w:rPr>
                <w:rFonts w:ascii="宋体" w:hAnsi="宋体"/>
                <w:szCs w:val="21"/>
              </w:rPr>
            </w:pPr>
            <w:bookmarkStart w:id="2" w:name="项目地点"/>
            <w:r>
              <w:t>赣州</w:t>
            </w:r>
          </w:p>
        </w:tc>
      </w:tr>
      <w:tr w14:paraId="36739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CDA0F1">
            <w:pPr>
              <w:jc w:val="both"/>
              <w:rPr>
                <w:rFonts w:ascii="宋体" w:hAnsi="宋体"/>
                <w:szCs w:val="21"/>
              </w:rPr>
            </w:pPr>
            <w:r>
              <w:rPr>
                <w:rFonts w:hint="eastAsia" w:ascii="宋体" w:hAnsi="宋体"/>
                <w:szCs w:val="21"/>
              </w:rPr>
              <w:t>设计编号</w:t>
            </w:r>
          </w:p>
        </w:tc>
        <w:tc>
          <w:tcPr>
            <w:tcW w:w="3780" w:type="dxa"/>
          </w:tcPr>
          <w:p w14:paraId="31544D5B">
            <w:pPr>
              <w:jc w:val="both"/>
              <w:rPr>
                <w:rFonts w:ascii="宋体" w:hAnsi="宋体"/>
                <w:szCs w:val="21"/>
              </w:rPr>
            </w:pPr>
            <w:bookmarkStart w:id="3" w:name="设计编号"/>
          </w:p>
        </w:tc>
      </w:tr>
      <w:tr w14:paraId="2CF6F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CCB32A">
            <w:pPr>
              <w:jc w:val="both"/>
              <w:rPr>
                <w:rFonts w:ascii="宋体" w:hAnsi="宋体"/>
                <w:szCs w:val="21"/>
              </w:rPr>
            </w:pPr>
            <w:r>
              <w:rPr>
                <w:rFonts w:hint="eastAsia" w:ascii="宋体" w:hAnsi="宋体"/>
                <w:szCs w:val="21"/>
              </w:rPr>
              <w:t>建设单位</w:t>
            </w:r>
          </w:p>
        </w:tc>
        <w:tc>
          <w:tcPr>
            <w:tcW w:w="3780" w:type="dxa"/>
          </w:tcPr>
          <w:p w14:paraId="27AC50E7">
            <w:pPr>
              <w:rPr>
                <w:rFonts w:ascii="宋体" w:hAnsi="宋体"/>
                <w:szCs w:val="21"/>
              </w:rPr>
            </w:pPr>
            <w:bookmarkStart w:id="4" w:name="建设单位"/>
          </w:p>
        </w:tc>
      </w:tr>
      <w:tr w14:paraId="458F77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9F91E3">
            <w:pPr>
              <w:jc w:val="both"/>
              <w:rPr>
                <w:rFonts w:ascii="宋体" w:hAnsi="宋体"/>
                <w:szCs w:val="21"/>
              </w:rPr>
            </w:pPr>
            <w:r>
              <w:rPr>
                <w:rFonts w:hint="eastAsia" w:ascii="宋体" w:hAnsi="宋体"/>
                <w:szCs w:val="21"/>
              </w:rPr>
              <w:t>设计单位</w:t>
            </w:r>
          </w:p>
        </w:tc>
        <w:tc>
          <w:tcPr>
            <w:tcW w:w="3780" w:type="dxa"/>
          </w:tcPr>
          <w:p w14:paraId="08CE2E4B">
            <w:pPr>
              <w:rPr>
                <w:rFonts w:ascii="宋体" w:hAnsi="宋体"/>
                <w:szCs w:val="21"/>
              </w:rPr>
            </w:pPr>
            <w:bookmarkStart w:id="5" w:name="设计单位"/>
          </w:p>
        </w:tc>
      </w:tr>
      <w:tr w14:paraId="61A7C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9BDE61">
            <w:pPr>
              <w:jc w:val="both"/>
              <w:rPr>
                <w:rFonts w:ascii="宋体" w:hAnsi="宋体"/>
                <w:szCs w:val="21"/>
              </w:rPr>
            </w:pPr>
            <w:r>
              <w:rPr>
                <w:rFonts w:hint="eastAsia" w:ascii="宋体" w:hAnsi="宋体"/>
                <w:szCs w:val="21"/>
              </w:rPr>
              <w:t>设 计 人</w:t>
            </w:r>
          </w:p>
        </w:tc>
        <w:tc>
          <w:tcPr>
            <w:tcW w:w="3780" w:type="dxa"/>
          </w:tcPr>
          <w:p w14:paraId="27EA95FD">
            <w:pPr>
              <w:rPr>
                <w:rFonts w:ascii="宋体" w:hAnsi="宋体"/>
                <w:szCs w:val="21"/>
              </w:rPr>
            </w:pPr>
          </w:p>
        </w:tc>
      </w:tr>
      <w:tr w14:paraId="702DC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059CB2">
            <w:pPr>
              <w:jc w:val="both"/>
              <w:rPr>
                <w:rFonts w:ascii="宋体" w:hAnsi="宋体"/>
                <w:szCs w:val="21"/>
              </w:rPr>
            </w:pPr>
            <w:r>
              <w:rPr>
                <w:rFonts w:hint="eastAsia" w:ascii="宋体" w:hAnsi="宋体"/>
                <w:szCs w:val="21"/>
              </w:rPr>
              <w:t>校 对 人</w:t>
            </w:r>
          </w:p>
        </w:tc>
        <w:tc>
          <w:tcPr>
            <w:tcW w:w="3780" w:type="dxa"/>
          </w:tcPr>
          <w:p w14:paraId="37C8ED4A">
            <w:pPr>
              <w:rPr>
                <w:rFonts w:ascii="宋体" w:hAnsi="宋体"/>
                <w:szCs w:val="21"/>
              </w:rPr>
            </w:pPr>
          </w:p>
        </w:tc>
      </w:tr>
      <w:tr w14:paraId="77277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41CC5FC">
            <w:pPr>
              <w:jc w:val="both"/>
              <w:rPr>
                <w:rFonts w:ascii="宋体" w:hAnsi="宋体"/>
                <w:szCs w:val="21"/>
              </w:rPr>
            </w:pPr>
            <w:r>
              <w:rPr>
                <w:rFonts w:hint="eastAsia" w:ascii="宋体" w:hAnsi="宋体"/>
                <w:szCs w:val="21"/>
              </w:rPr>
              <w:t>审 核 人</w:t>
            </w:r>
          </w:p>
        </w:tc>
        <w:tc>
          <w:tcPr>
            <w:tcW w:w="3780" w:type="dxa"/>
          </w:tcPr>
          <w:p w14:paraId="4ECBA551">
            <w:pPr>
              <w:rPr>
                <w:rFonts w:ascii="宋体" w:hAnsi="宋体"/>
                <w:szCs w:val="21"/>
              </w:rPr>
            </w:pPr>
          </w:p>
        </w:tc>
      </w:tr>
      <w:tr w14:paraId="2422C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33F818">
            <w:pPr>
              <w:jc w:val="both"/>
              <w:rPr>
                <w:rFonts w:ascii="宋体" w:hAnsi="宋体"/>
                <w:szCs w:val="21"/>
              </w:rPr>
            </w:pPr>
            <w:r>
              <w:rPr>
                <w:rFonts w:hint="eastAsia" w:ascii="宋体" w:hAnsi="宋体"/>
                <w:szCs w:val="21"/>
              </w:rPr>
              <w:t>审 定 人</w:t>
            </w:r>
          </w:p>
        </w:tc>
        <w:tc>
          <w:tcPr>
            <w:tcW w:w="3780" w:type="dxa"/>
          </w:tcPr>
          <w:p w14:paraId="7A8D8CC0">
            <w:pPr>
              <w:rPr>
                <w:rFonts w:ascii="宋体" w:hAnsi="宋体"/>
                <w:szCs w:val="21"/>
              </w:rPr>
            </w:pPr>
          </w:p>
        </w:tc>
      </w:tr>
      <w:tr w14:paraId="2001D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569D98F">
            <w:pPr>
              <w:jc w:val="both"/>
              <w:rPr>
                <w:rFonts w:ascii="宋体" w:hAnsi="宋体"/>
                <w:szCs w:val="21"/>
              </w:rPr>
            </w:pPr>
            <w:r>
              <w:rPr>
                <w:rFonts w:hint="eastAsia" w:ascii="宋体" w:hAnsi="宋体"/>
                <w:szCs w:val="21"/>
              </w:rPr>
              <w:t>设计日期</w:t>
            </w:r>
          </w:p>
        </w:tc>
        <w:tc>
          <w:tcPr>
            <w:tcW w:w="3780" w:type="dxa"/>
          </w:tcPr>
          <w:p w14:paraId="227E9D77">
            <w:pPr>
              <w:rPr>
                <w:rFonts w:ascii="宋体" w:hAnsi="宋体"/>
                <w:szCs w:val="21"/>
              </w:rPr>
            </w:pPr>
            <w:bookmarkStart w:id="6" w:name="报告日期"/>
            <w:r>
              <w:rPr>
                <w:rFonts w:hint="eastAsia" w:ascii="宋体" w:hAnsi="宋体"/>
                <w:szCs w:val="21"/>
              </w:rPr>
              <w:t>2024年12月16日</w:t>
            </w:r>
          </w:p>
        </w:tc>
      </w:tr>
    </w:tbl>
    <w:p w14:paraId="019D1551">
      <w:pPr>
        <w:spacing w:line="240" w:lineRule="auto"/>
        <w:rPr>
          <w:rFonts w:ascii="宋体" w:hAnsi="宋体"/>
          <w:lang w:val="en-US"/>
        </w:rPr>
      </w:pPr>
    </w:p>
    <w:p w14:paraId="448BD1EE">
      <w:pPr>
        <w:spacing w:line="240" w:lineRule="auto"/>
        <w:rPr>
          <w:rFonts w:ascii="宋体" w:hAnsi="宋体"/>
          <w:lang w:val="en-US"/>
        </w:rPr>
      </w:pPr>
    </w:p>
    <w:p w14:paraId="18BCF4D1">
      <w:pPr>
        <w:spacing w:line="240" w:lineRule="auto"/>
        <w:rPr>
          <w:rFonts w:ascii="宋体" w:hAnsi="宋体"/>
          <w:lang w:val="en-US"/>
        </w:rPr>
      </w:pPr>
    </w:p>
    <w:p w14:paraId="13CE9E83">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47C9481">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1080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F2F038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6F6CA5A">
            <w:pPr>
              <w:spacing w:line="240" w:lineRule="atLeast"/>
              <w:rPr>
                <w:sz w:val="18"/>
                <w:szCs w:val="18"/>
              </w:rPr>
            </w:pPr>
            <w:bookmarkStart w:id="8" w:name="采用软件"/>
            <w:r>
              <w:rPr>
                <w:rFonts w:hint="eastAsia"/>
              </w:rPr>
              <w:t>建筑通风Vent2024</w:t>
            </w:r>
          </w:p>
        </w:tc>
      </w:tr>
      <w:tr w14:paraId="459E8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8AB502C">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2804C4D">
            <w:pPr>
              <w:spacing w:line="240" w:lineRule="atLeast"/>
              <w:rPr>
                <w:sz w:val="18"/>
                <w:szCs w:val="18"/>
              </w:rPr>
            </w:pPr>
            <w:bookmarkStart w:id="9" w:name="软件版本"/>
            <w:r>
              <w:rPr>
                <w:rFonts w:hint="eastAsia"/>
                <w:sz w:val="18"/>
                <w:szCs w:val="18"/>
              </w:rPr>
              <w:t>20240430(SP1)</w:t>
            </w:r>
          </w:p>
        </w:tc>
      </w:tr>
      <w:tr w14:paraId="64507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188C5F9">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669C8CF">
            <w:pPr>
              <w:spacing w:line="240" w:lineRule="atLeast"/>
              <w:rPr>
                <w:sz w:val="18"/>
                <w:szCs w:val="18"/>
              </w:rPr>
            </w:pPr>
            <w:r>
              <w:rPr>
                <w:rFonts w:hint="eastAsia"/>
                <w:sz w:val="18"/>
                <w:szCs w:val="18"/>
              </w:rPr>
              <w:t>北京绿建软件股份有限公司</w:t>
            </w:r>
          </w:p>
        </w:tc>
      </w:tr>
      <w:tr w14:paraId="2878E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FE2EA7D">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5C827B8">
            <w:pPr>
              <w:rPr>
                <w:rFonts w:cstheme="minorBidi"/>
                <w:kern w:val="2"/>
                <w:szCs w:val="18"/>
                <w:lang w:val="en-US"/>
              </w:rPr>
            </w:pPr>
            <w:bookmarkStart w:id="10" w:name="加密锁号"/>
            <w:r>
              <w:rPr>
                <w:rFonts w:hint="eastAsia"/>
              </w:rPr>
              <w:t>T13879698576</w:t>
            </w:r>
          </w:p>
        </w:tc>
      </w:tr>
    </w:tbl>
    <w:p w14:paraId="278D224D">
      <w:pPr>
        <w:spacing w:line="240" w:lineRule="auto"/>
        <w:jc w:val="center"/>
        <w:rPr>
          <w:rFonts w:ascii="宋体" w:hAnsi="宋体"/>
          <w:b/>
          <w:bCs/>
          <w:sz w:val="30"/>
          <w:szCs w:val="32"/>
        </w:rPr>
      </w:pPr>
    </w:p>
    <w:p w14:paraId="6EA7CB9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966892C">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_Toc8165 </w:instrText>
      </w:r>
      <w:r>
        <w:rPr>
          <w:rFonts w:ascii="宋体" w:hAnsi="宋体"/>
          <w:bCs w:val="0"/>
          <w:caps/>
        </w:rPr>
        <w:fldChar w:fldCharType="separate"/>
      </w:r>
      <w:r>
        <w:rPr>
          <w:rFonts w:hint="eastAsia"/>
        </w:rPr>
        <w:t>1 项目概况</w:t>
      </w:r>
      <w:r>
        <w:tab/>
      </w:r>
      <w:r>
        <w:fldChar w:fldCharType="begin"/>
      </w:r>
      <w:r>
        <w:instrText xml:space="preserve"> PAGEREF _Toc8165 \h </w:instrText>
      </w:r>
      <w:r>
        <w:fldChar w:fldCharType="separate"/>
      </w:r>
      <w:r>
        <w:t>3</w:t>
      </w:r>
      <w:r>
        <w:fldChar w:fldCharType="end"/>
      </w:r>
      <w:r>
        <w:rPr>
          <w:rFonts w:ascii="宋体" w:hAnsi="宋体"/>
          <w:bCs w:val="0"/>
          <w:caps/>
        </w:rPr>
        <w:fldChar w:fldCharType="end"/>
      </w:r>
    </w:p>
    <w:p w14:paraId="711FE3F6">
      <w:pPr>
        <w:pStyle w:val="20"/>
        <w:tabs>
          <w:tab w:val="right" w:leader="dot" w:pos="9070"/>
          <w:tab w:val="clear" w:pos="540"/>
          <w:tab w:val="clear" w:pos="840"/>
          <w:tab w:val="clear" w:pos="9360"/>
        </w:tabs>
      </w:pPr>
      <w:r>
        <w:fldChar w:fldCharType="begin"/>
      </w:r>
      <w:r>
        <w:instrText xml:space="preserve"> HYPERLINK \l _Toc301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_Toc301 \h </w:instrText>
      </w:r>
      <w:r>
        <w:fldChar w:fldCharType="separate"/>
      </w:r>
      <w:r>
        <w:t>4</w:t>
      </w:r>
      <w:r>
        <w:fldChar w:fldCharType="end"/>
      </w:r>
      <w:r>
        <w:fldChar w:fldCharType="end"/>
      </w:r>
    </w:p>
    <w:p w14:paraId="6B23AAA9">
      <w:pPr>
        <w:pStyle w:val="20"/>
        <w:tabs>
          <w:tab w:val="right" w:leader="dot" w:pos="9070"/>
          <w:tab w:val="clear" w:pos="540"/>
          <w:tab w:val="clear" w:pos="840"/>
          <w:tab w:val="clear" w:pos="9360"/>
        </w:tabs>
      </w:pPr>
      <w:r>
        <w:fldChar w:fldCharType="begin"/>
      </w:r>
      <w:r>
        <w:instrText xml:space="preserve"> HYPERLINK \l _Toc6017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_Toc6017 \h </w:instrText>
      </w:r>
      <w:r>
        <w:fldChar w:fldCharType="separate"/>
      </w:r>
      <w:r>
        <w:t>5</w:t>
      </w:r>
      <w:r>
        <w:fldChar w:fldCharType="end"/>
      </w:r>
      <w:r>
        <w:fldChar w:fldCharType="end"/>
      </w:r>
    </w:p>
    <w:p w14:paraId="64E02468">
      <w:pPr>
        <w:pStyle w:val="19"/>
        <w:tabs>
          <w:tab w:val="right" w:leader="dot" w:pos="9070"/>
          <w:tab w:val="clear" w:pos="180"/>
          <w:tab w:val="clear" w:pos="420"/>
          <w:tab w:val="clear" w:pos="9360"/>
        </w:tabs>
      </w:pPr>
      <w:r>
        <w:fldChar w:fldCharType="begin"/>
      </w:r>
      <w:r>
        <w:instrText xml:space="preserve"> HYPERLINK \l _Toc22003 </w:instrText>
      </w:r>
      <w:r>
        <w:fldChar w:fldCharType="separate"/>
      </w:r>
      <w:r>
        <w:rPr>
          <w:rFonts w:hint="eastAsia"/>
        </w:rPr>
        <w:t>2 计算</w:t>
      </w:r>
      <w:r>
        <w:t>依据</w:t>
      </w:r>
      <w:r>
        <w:tab/>
      </w:r>
      <w:r>
        <w:fldChar w:fldCharType="begin"/>
      </w:r>
      <w:r>
        <w:instrText xml:space="preserve"> PAGEREF _Toc22003 \h </w:instrText>
      </w:r>
      <w:r>
        <w:fldChar w:fldCharType="separate"/>
      </w:r>
      <w:r>
        <w:t>6</w:t>
      </w:r>
      <w:r>
        <w:fldChar w:fldCharType="end"/>
      </w:r>
      <w:r>
        <w:fldChar w:fldCharType="end"/>
      </w:r>
    </w:p>
    <w:p w14:paraId="0B1AB0AC">
      <w:pPr>
        <w:pStyle w:val="19"/>
        <w:tabs>
          <w:tab w:val="right" w:leader="dot" w:pos="9070"/>
          <w:tab w:val="clear" w:pos="180"/>
          <w:tab w:val="clear" w:pos="420"/>
          <w:tab w:val="clear" w:pos="9360"/>
        </w:tabs>
      </w:pPr>
      <w:r>
        <w:fldChar w:fldCharType="begin"/>
      </w:r>
      <w:r>
        <w:instrText xml:space="preserve"> HYPERLINK \l _Toc18049 </w:instrText>
      </w:r>
      <w:r>
        <w:fldChar w:fldCharType="separate"/>
      </w:r>
      <w:r>
        <w:rPr>
          <w:rFonts w:hint="eastAsia"/>
        </w:rPr>
        <w:t>3 参考</w:t>
      </w:r>
      <w:r>
        <w:t>标准</w:t>
      </w:r>
      <w:r>
        <w:tab/>
      </w:r>
      <w:r>
        <w:fldChar w:fldCharType="begin"/>
      </w:r>
      <w:r>
        <w:instrText xml:space="preserve"> PAGEREF _Toc18049 \h </w:instrText>
      </w:r>
      <w:r>
        <w:fldChar w:fldCharType="separate"/>
      </w:r>
      <w:r>
        <w:t>6</w:t>
      </w:r>
      <w:r>
        <w:fldChar w:fldCharType="end"/>
      </w:r>
      <w:r>
        <w:fldChar w:fldCharType="end"/>
      </w:r>
    </w:p>
    <w:p w14:paraId="2334F196">
      <w:pPr>
        <w:pStyle w:val="19"/>
        <w:tabs>
          <w:tab w:val="right" w:leader="dot" w:pos="9070"/>
          <w:tab w:val="clear" w:pos="180"/>
          <w:tab w:val="clear" w:pos="420"/>
          <w:tab w:val="clear" w:pos="9360"/>
        </w:tabs>
      </w:pPr>
      <w:r>
        <w:fldChar w:fldCharType="begin"/>
      </w:r>
      <w:r>
        <w:instrText xml:space="preserve"> HYPERLINK \l _Toc8342 </w:instrText>
      </w:r>
      <w:r>
        <w:fldChar w:fldCharType="separate"/>
      </w:r>
      <w:r>
        <w:rPr>
          <w:rFonts w:hint="eastAsia"/>
        </w:rPr>
        <w:t>4 计算原理</w:t>
      </w:r>
      <w:r>
        <w:tab/>
      </w:r>
      <w:r>
        <w:fldChar w:fldCharType="begin"/>
      </w:r>
      <w:r>
        <w:instrText xml:space="preserve"> PAGEREF _Toc8342 \h </w:instrText>
      </w:r>
      <w:r>
        <w:fldChar w:fldCharType="separate"/>
      </w:r>
      <w:r>
        <w:t>6</w:t>
      </w:r>
      <w:r>
        <w:fldChar w:fldCharType="end"/>
      </w:r>
      <w:r>
        <w:fldChar w:fldCharType="end"/>
      </w:r>
    </w:p>
    <w:p w14:paraId="6D5F4D11">
      <w:pPr>
        <w:pStyle w:val="20"/>
        <w:tabs>
          <w:tab w:val="right" w:leader="dot" w:pos="9070"/>
          <w:tab w:val="clear" w:pos="540"/>
          <w:tab w:val="clear" w:pos="840"/>
          <w:tab w:val="clear" w:pos="9360"/>
        </w:tabs>
      </w:pPr>
      <w:r>
        <w:fldChar w:fldCharType="begin"/>
      </w:r>
      <w:r>
        <w:instrText xml:space="preserve"> HYPERLINK \l _Toc16583 </w:instrText>
      </w:r>
      <w:r>
        <w:fldChar w:fldCharType="separate"/>
      </w:r>
      <w:r>
        <w:rPr>
          <w:rFonts w:hint="eastAsia"/>
          <w:lang w:val="en-GB"/>
        </w:rPr>
        <w:t xml:space="preserve">4.1 </w:t>
      </w:r>
      <w:r>
        <w:rPr>
          <w:rFonts w:hint="eastAsia"/>
        </w:rPr>
        <w:t>风场计算域</w:t>
      </w:r>
      <w:r>
        <w:tab/>
      </w:r>
      <w:r>
        <w:fldChar w:fldCharType="begin"/>
      </w:r>
      <w:r>
        <w:instrText xml:space="preserve"> PAGEREF _Toc16583 \h </w:instrText>
      </w:r>
      <w:r>
        <w:fldChar w:fldCharType="separate"/>
      </w:r>
      <w:r>
        <w:t>6</w:t>
      </w:r>
      <w:r>
        <w:fldChar w:fldCharType="end"/>
      </w:r>
      <w:r>
        <w:fldChar w:fldCharType="end"/>
      </w:r>
    </w:p>
    <w:p w14:paraId="795F0629">
      <w:pPr>
        <w:pStyle w:val="15"/>
        <w:tabs>
          <w:tab w:val="right" w:leader="dot" w:pos="9070"/>
          <w:tab w:val="clear" w:pos="900"/>
          <w:tab w:val="clear" w:pos="1260"/>
          <w:tab w:val="clear" w:pos="9360"/>
        </w:tabs>
      </w:pPr>
      <w:r>
        <w:fldChar w:fldCharType="begin"/>
      </w:r>
      <w:r>
        <w:instrText xml:space="preserve"> HYPERLINK \l _Toc32730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_Toc32730 \h </w:instrText>
      </w:r>
      <w:r>
        <w:fldChar w:fldCharType="separate"/>
      </w:r>
      <w:r>
        <w:t>6</w:t>
      </w:r>
      <w:r>
        <w:fldChar w:fldCharType="end"/>
      </w:r>
      <w:r>
        <w:fldChar w:fldCharType="end"/>
      </w:r>
    </w:p>
    <w:p w14:paraId="41BBEF28">
      <w:pPr>
        <w:pStyle w:val="15"/>
        <w:tabs>
          <w:tab w:val="right" w:leader="dot" w:pos="9070"/>
          <w:tab w:val="clear" w:pos="900"/>
          <w:tab w:val="clear" w:pos="1260"/>
          <w:tab w:val="clear" w:pos="9360"/>
        </w:tabs>
      </w:pPr>
      <w:r>
        <w:fldChar w:fldCharType="begin"/>
      </w:r>
      <w:r>
        <w:instrText xml:space="preserve"> HYPERLINK \l _Toc8925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_Toc8925 \h </w:instrText>
      </w:r>
      <w:r>
        <w:fldChar w:fldCharType="separate"/>
      </w:r>
      <w:r>
        <w:t>7</w:t>
      </w:r>
      <w:r>
        <w:fldChar w:fldCharType="end"/>
      </w:r>
      <w:r>
        <w:fldChar w:fldCharType="end"/>
      </w:r>
    </w:p>
    <w:p w14:paraId="7A4C32F3">
      <w:pPr>
        <w:pStyle w:val="20"/>
        <w:tabs>
          <w:tab w:val="right" w:leader="dot" w:pos="9070"/>
          <w:tab w:val="clear" w:pos="540"/>
          <w:tab w:val="clear" w:pos="840"/>
          <w:tab w:val="clear" w:pos="9360"/>
        </w:tabs>
      </w:pPr>
      <w:r>
        <w:fldChar w:fldCharType="begin"/>
      </w:r>
      <w:r>
        <w:instrText xml:space="preserve"> HYPERLINK \l _Toc7052 </w:instrText>
      </w:r>
      <w:r>
        <w:fldChar w:fldCharType="separate"/>
      </w:r>
      <w:r>
        <w:rPr>
          <w:rFonts w:hint="eastAsia"/>
          <w:lang w:val="en-GB"/>
        </w:rPr>
        <w:t xml:space="preserve">4.2 </w:t>
      </w:r>
      <w:r>
        <w:rPr>
          <w:rFonts w:hint="eastAsia"/>
        </w:rPr>
        <w:t>网格划分</w:t>
      </w:r>
      <w:r>
        <w:tab/>
      </w:r>
      <w:r>
        <w:fldChar w:fldCharType="begin"/>
      </w:r>
      <w:r>
        <w:instrText xml:space="preserve"> PAGEREF _Toc7052 \h </w:instrText>
      </w:r>
      <w:r>
        <w:fldChar w:fldCharType="separate"/>
      </w:r>
      <w:r>
        <w:t>8</w:t>
      </w:r>
      <w:r>
        <w:fldChar w:fldCharType="end"/>
      </w:r>
      <w:r>
        <w:fldChar w:fldCharType="end"/>
      </w:r>
    </w:p>
    <w:p w14:paraId="406B102C">
      <w:pPr>
        <w:pStyle w:val="20"/>
        <w:tabs>
          <w:tab w:val="right" w:leader="dot" w:pos="9070"/>
          <w:tab w:val="clear" w:pos="540"/>
          <w:tab w:val="clear" w:pos="840"/>
          <w:tab w:val="clear" w:pos="9360"/>
        </w:tabs>
      </w:pPr>
      <w:r>
        <w:fldChar w:fldCharType="begin"/>
      </w:r>
      <w:r>
        <w:instrText xml:space="preserve"> HYPERLINK \l _Toc17674 </w:instrText>
      </w:r>
      <w:r>
        <w:fldChar w:fldCharType="separate"/>
      </w:r>
      <w:r>
        <w:rPr>
          <w:rFonts w:hint="eastAsia"/>
          <w:lang w:val="en-GB"/>
        </w:rPr>
        <w:t xml:space="preserve">4.3 </w:t>
      </w:r>
      <w:r>
        <w:rPr>
          <w:rFonts w:hint="eastAsia"/>
        </w:rPr>
        <w:t>边界条件</w:t>
      </w:r>
      <w:r>
        <w:tab/>
      </w:r>
      <w:r>
        <w:fldChar w:fldCharType="begin"/>
      </w:r>
      <w:r>
        <w:instrText xml:space="preserve"> PAGEREF _Toc17674 \h </w:instrText>
      </w:r>
      <w:r>
        <w:fldChar w:fldCharType="separate"/>
      </w:r>
      <w:r>
        <w:t>10</w:t>
      </w:r>
      <w:r>
        <w:fldChar w:fldCharType="end"/>
      </w:r>
      <w:r>
        <w:fldChar w:fldCharType="end"/>
      </w:r>
    </w:p>
    <w:p w14:paraId="324446EB">
      <w:pPr>
        <w:pStyle w:val="15"/>
        <w:tabs>
          <w:tab w:val="right" w:leader="dot" w:pos="9070"/>
          <w:tab w:val="clear" w:pos="900"/>
          <w:tab w:val="clear" w:pos="1260"/>
          <w:tab w:val="clear" w:pos="9360"/>
        </w:tabs>
      </w:pPr>
      <w:r>
        <w:fldChar w:fldCharType="begin"/>
      </w:r>
      <w:r>
        <w:instrText xml:space="preserve"> HYPERLINK \l _Toc9179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_Toc9179 \h </w:instrText>
      </w:r>
      <w:r>
        <w:fldChar w:fldCharType="separate"/>
      </w:r>
      <w:r>
        <w:t>10</w:t>
      </w:r>
      <w:r>
        <w:fldChar w:fldCharType="end"/>
      </w:r>
      <w:r>
        <w:fldChar w:fldCharType="end"/>
      </w:r>
    </w:p>
    <w:p w14:paraId="00D9574B">
      <w:pPr>
        <w:pStyle w:val="15"/>
        <w:tabs>
          <w:tab w:val="right" w:leader="dot" w:pos="9070"/>
          <w:tab w:val="clear" w:pos="900"/>
          <w:tab w:val="clear" w:pos="1260"/>
          <w:tab w:val="clear" w:pos="9360"/>
        </w:tabs>
      </w:pPr>
      <w:r>
        <w:fldChar w:fldCharType="begin"/>
      </w:r>
      <w:r>
        <w:instrText xml:space="preserve"> HYPERLINK \l _Toc29628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_Toc29628 \h </w:instrText>
      </w:r>
      <w:r>
        <w:fldChar w:fldCharType="separate"/>
      </w:r>
      <w:r>
        <w:t>11</w:t>
      </w:r>
      <w:r>
        <w:fldChar w:fldCharType="end"/>
      </w:r>
      <w:r>
        <w:fldChar w:fldCharType="end"/>
      </w:r>
    </w:p>
    <w:p w14:paraId="1AD2085B">
      <w:pPr>
        <w:pStyle w:val="20"/>
        <w:tabs>
          <w:tab w:val="right" w:leader="dot" w:pos="9070"/>
          <w:tab w:val="clear" w:pos="540"/>
          <w:tab w:val="clear" w:pos="840"/>
          <w:tab w:val="clear" w:pos="9360"/>
        </w:tabs>
      </w:pPr>
      <w:r>
        <w:fldChar w:fldCharType="begin"/>
      </w:r>
      <w:r>
        <w:instrText xml:space="preserve"> HYPERLINK \l _Toc1168 </w:instrText>
      </w:r>
      <w:r>
        <w:fldChar w:fldCharType="separate"/>
      </w:r>
      <w:r>
        <w:rPr>
          <w:rFonts w:hint="eastAsia"/>
          <w:lang w:val="en-GB"/>
        </w:rPr>
        <w:t xml:space="preserve">4.4 </w:t>
      </w:r>
      <w:r>
        <w:rPr>
          <w:rFonts w:hint="eastAsia"/>
        </w:rPr>
        <w:t>湍流模型</w:t>
      </w:r>
      <w:r>
        <w:tab/>
      </w:r>
      <w:r>
        <w:fldChar w:fldCharType="begin"/>
      </w:r>
      <w:r>
        <w:instrText xml:space="preserve"> PAGEREF _Toc1168 \h </w:instrText>
      </w:r>
      <w:r>
        <w:fldChar w:fldCharType="separate"/>
      </w:r>
      <w:r>
        <w:t>11</w:t>
      </w:r>
      <w:r>
        <w:fldChar w:fldCharType="end"/>
      </w:r>
      <w:r>
        <w:fldChar w:fldCharType="end"/>
      </w:r>
    </w:p>
    <w:p w14:paraId="367CB476">
      <w:pPr>
        <w:pStyle w:val="20"/>
        <w:tabs>
          <w:tab w:val="right" w:leader="dot" w:pos="9070"/>
          <w:tab w:val="clear" w:pos="540"/>
          <w:tab w:val="clear" w:pos="840"/>
          <w:tab w:val="clear" w:pos="9360"/>
        </w:tabs>
      </w:pPr>
      <w:r>
        <w:fldChar w:fldCharType="begin"/>
      </w:r>
      <w:r>
        <w:instrText xml:space="preserve"> HYPERLINK \l _Toc16476 </w:instrText>
      </w:r>
      <w:r>
        <w:fldChar w:fldCharType="separate"/>
      </w:r>
      <w:r>
        <w:rPr>
          <w:rFonts w:hint="eastAsia"/>
          <w:lang w:val="en-GB"/>
        </w:rPr>
        <w:t xml:space="preserve">4.5 </w:t>
      </w:r>
      <w:r>
        <w:rPr>
          <w:rFonts w:hint="eastAsia"/>
        </w:rPr>
        <w:t>求解计算</w:t>
      </w:r>
      <w:r>
        <w:tab/>
      </w:r>
      <w:r>
        <w:fldChar w:fldCharType="begin"/>
      </w:r>
      <w:r>
        <w:instrText xml:space="preserve"> PAGEREF _Toc16476 \h </w:instrText>
      </w:r>
      <w:r>
        <w:fldChar w:fldCharType="separate"/>
      </w:r>
      <w:r>
        <w:t>11</w:t>
      </w:r>
      <w:r>
        <w:fldChar w:fldCharType="end"/>
      </w:r>
      <w:r>
        <w:fldChar w:fldCharType="end"/>
      </w:r>
    </w:p>
    <w:p w14:paraId="05E1CE39">
      <w:pPr>
        <w:pStyle w:val="20"/>
        <w:tabs>
          <w:tab w:val="right" w:leader="dot" w:pos="9070"/>
          <w:tab w:val="clear" w:pos="540"/>
          <w:tab w:val="clear" w:pos="840"/>
          <w:tab w:val="clear" w:pos="9360"/>
        </w:tabs>
      </w:pPr>
      <w:r>
        <w:fldChar w:fldCharType="begin"/>
      </w:r>
      <w:r>
        <w:instrText xml:space="preserve"> HYPERLINK \l _Toc13072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_Toc13072 \h </w:instrText>
      </w:r>
      <w:r>
        <w:fldChar w:fldCharType="separate"/>
      </w:r>
      <w:r>
        <w:t>12</w:t>
      </w:r>
      <w:r>
        <w:fldChar w:fldCharType="end"/>
      </w:r>
      <w:r>
        <w:fldChar w:fldCharType="end"/>
      </w:r>
    </w:p>
    <w:p w14:paraId="6C5D2046">
      <w:pPr>
        <w:pStyle w:val="19"/>
        <w:tabs>
          <w:tab w:val="right" w:leader="dot" w:pos="9070"/>
          <w:tab w:val="clear" w:pos="180"/>
          <w:tab w:val="clear" w:pos="420"/>
          <w:tab w:val="clear" w:pos="9360"/>
        </w:tabs>
      </w:pPr>
      <w:r>
        <w:fldChar w:fldCharType="begin"/>
      </w:r>
      <w:r>
        <w:instrText xml:space="preserve"> HYPERLINK \l _Toc30019 </w:instrText>
      </w:r>
      <w:r>
        <w:fldChar w:fldCharType="separate"/>
      </w:r>
      <w:r>
        <w:rPr>
          <w:rFonts w:hint="eastAsia"/>
        </w:rPr>
        <w:t>5 结果</w:t>
      </w:r>
      <w:r>
        <w:t>分析</w:t>
      </w:r>
      <w:r>
        <w:tab/>
      </w:r>
      <w:r>
        <w:fldChar w:fldCharType="begin"/>
      </w:r>
      <w:r>
        <w:instrText xml:space="preserve"> PAGEREF _Toc30019 \h </w:instrText>
      </w:r>
      <w:r>
        <w:fldChar w:fldCharType="separate"/>
      </w:r>
      <w:r>
        <w:t>14</w:t>
      </w:r>
      <w:r>
        <w:fldChar w:fldCharType="end"/>
      </w:r>
      <w:r>
        <w:fldChar w:fldCharType="end"/>
      </w:r>
    </w:p>
    <w:p w14:paraId="4DC00135">
      <w:pPr>
        <w:pStyle w:val="20"/>
        <w:tabs>
          <w:tab w:val="right" w:leader="dot" w:pos="9070"/>
          <w:tab w:val="clear" w:pos="540"/>
          <w:tab w:val="clear" w:pos="840"/>
          <w:tab w:val="clear" w:pos="9360"/>
        </w:tabs>
      </w:pPr>
      <w:r>
        <w:fldChar w:fldCharType="begin"/>
      </w:r>
      <w:r>
        <w:instrText xml:space="preserve"> HYPERLINK \l _Toc22117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_Toc22117 \h </w:instrText>
      </w:r>
      <w:r>
        <w:fldChar w:fldCharType="separate"/>
      </w:r>
      <w:r>
        <w:t>14</w:t>
      </w:r>
      <w:r>
        <w:fldChar w:fldCharType="end"/>
      </w:r>
      <w:r>
        <w:fldChar w:fldCharType="end"/>
      </w:r>
    </w:p>
    <w:p w14:paraId="267E63CD">
      <w:pPr>
        <w:pStyle w:val="20"/>
        <w:tabs>
          <w:tab w:val="right" w:leader="dot" w:pos="9070"/>
          <w:tab w:val="clear" w:pos="540"/>
          <w:tab w:val="clear" w:pos="840"/>
          <w:tab w:val="clear" w:pos="9360"/>
        </w:tabs>
      </w:pPr>
      <w:r>
        <w:fldChar w:fldCharType="begin"/>
      </w:r>
      <w:r>
        <w:instrText xml:space="preserve"> HYPERLINK \l _Toc12500 </w:instrText>
      </w:r>
      <w:r>
        <w:fldChar w:fldCharType="separate"/>
      </w:r>
      <w:r>
        <w:rPr>
          <w:rFonts w:hint="eastAsia"/>
          <w:lang w:val="en-GB"/>
        </w:rPr>
        <w:t xml:space="preserve">5.2 </w:t>
      </w:r>
      <w:r>
        <w:rPr>
          <w:rFonts w:hint="eastAsia"/>
        </w:rPr>
        <w:t>冬季工况</w:t>
      </w:r>
      <w:r>
        <w:tab/>
      </w:r>
      <w:r>
        <w:fldChar w:fldCharType="begin"/>
      </w:r>
      <w:r>
        <w:instrText xml:space="preserve"> PAGEREF _Toc12500 \h </w:instrText>
      </w:r>
      <w:r>
        <w:fldChar w:fldCharType="separate"/>
      </w:r>
      <w:r>
        <w:t>14</w:t>
      </w:r>
      <w:r>
        <w:fldChar w:fldCharType="end"/>
      </w:r>
      <w:r>
        <w:fldChar w:fldCharType="end"/>
      </w:r>
    </w:p>
    <w:p w14:paraId="6F3CE117">
      <w:pPr>
        <w:pStyle w:val="15"/>
        <w:tabs>
          <w:tab w:val="right" w:leader="dot" w:pos="9070"/>
          <w:tab w:val="clear" w:pos="900"/>
          <w:tab w:val="clear" w:pos="1260"/>
          <w:tab w:val="clear" w:pos="9360"/>
        </w:tabs>
      </w:pPr>
      <w:r>
        <w:fldChar w:fldCharType="begin"/>
      </w:r>
      <w:r>
        <w:instrText xml:space="preserve"> HYPERLINK \l _Toc13366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_Toc13366 \h </w:instrText>
      </w:r>
      <w:r>
        <w:fldChar w:fldCharType="separate"/>
      </w:r>
      <w:r>
        <w:t>14</w:t>
      </w:r>
      <w:r>
        <w:fldChar w:fldCharType="end"/>
      </w:r>
      <w:r>
        <w:fldChar w:fldCharType="end"/>
      </w:r>
    </w:p>
    <w:p w14:paraId="4AC494CC">
      <w:pPr>
        <w:pStyle w:val="15"/>
        <w:tabs>
          <w:tab w:val="right" w:leader="dot" w:pos="9070"/>
          <w:tab w:val="clear" w:pos="900"/>
          <w:tab w:val="clear" w:pos="1260"/>
          <w:tab w:val="clear" w:pos="9360"/>
        </w:tabs>
      </w:pPr>
      <w:r>
        <w:fldChar w:fldCharType="begin"/>
      </w:r>
      <w:r>
        <w:instrText xml:space="preserve"> HYPERLINK \l _Toc3439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_Toc3439 \h </w:instrText>
      </w:r>
      <w:r>
        <w:fldChar w:fldCharType="separate"/>
      </w:r>
      <w:r>
        <w:t>15</w:t>
      </w:r>
      <w:r>
        <w:fldChar w:fldCharType="end"/>
      </w:r>
      <w:r>
        <w:fldChar w:fldCharType="end"/>
      </w:r>
    </w:p>
    <w:p w14:paraId="040C0783">
      <w:pPr>
        <w:pStyle w:val="15"/>
        <w:tabs>
          <w:tab w:val="right" w:leader="dot" w:pos="9070"/>
          <w:tab w:val="clear" w:pos="900"/>
          <w:tab w:val="clear" w:pos="1260"/>
          <w:tab w:val="clear" w:pos="9360"/>
        </w:tabs>
      </w:pPr>
      <w:r>
        <w:fldChar w:fldCharType="begin"/>
      </w:r>
      <w:r>
        <w:instrText xml:space="preserve"> HYPERLINK \l _Toc17748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_Toc17748 \h </w:instrText>
      </w:r>
      <w:r>
        <w:fldChar w:fldCharType="separate"/>
      </w:r>
      <w:r>
        <w:t>16</w:t>
      </w:r>
      <w:r>
        <w:fldChar w:fldCharType="end"/>
      </w:r>
      <w:r>
        <w:fldChar w:fldCharType="end"/>
      </w:r>
    </w:p>
    <w:p w14:paraId="123BDA3E">
      <w:pPr>
        <w:pStyle w:val="15"/>
        <w:tabs>
          <w:tab w:val="right" w:leader="dot" w:pos="9070"/>
          <w:tab w:val="clear" w:pos="900"/>
          <w:tab w:val="clear" w:pos="1260"/>
          <w:tab w:val="clear" w:pos="9360"/>
        </w:tabs>
      </w:pPr>
      <w:r>
        <w:fldChar w:fldCharType="begin"/>
      </w:r>
      <w:r>
        <w:instrText xml:space="preserve"> HYPERLINK \l _Toc18915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_Toc18915 \h </w:instrText>
      </w:r>
      <w:r>
        <w:fldChar w:fldCharType="separate"/>
      </w:r>
      <w:r>
        <w:t>16</w:t>
      </w:r>
      <w:r>
        <w:fldChar w:fldCharType="end"/>
      </w:r>
      <w:r>
        <w:fldChar w:fldCharType="end"/>
      </w:r>
    </w:p>
    <w:p w14:paraId="28171626">
      <w:pPr>
        <w:pStyle w:val="20"/>
        <w:tabs>
          <w:tab w:val="right" w:leader="dot" w:pos="9070"/>
          <w:tab w:val="clear" w:pos="540"/>
          <w:tab w:val="clear" w:pos="840"/>
          <w:tab w:val="clear" w:pos="9360"/>
        </w:tabs>
      </w:pPr>
      <w:r>
        <w:fldChar w:fldCharType="begin"/>
      </w:r>
      <w:r>
        <w:instrText xml:space="preserve"> HYPERLINK \l _Toc4785 </w:instrText>
      </w:r>
      <w:r>
        <w:fldChar w:fldCharType="separate"/>
      </w:r>
      <w:r>
        <w:rPr>
          <w:rFonts w:hint="eastAsia"/>
          <w:lang w:val="en-GB"/>
        </w:rPr>
        <w:t xml:space="preserve">5.3 </w:t>
      </w:r>
      <w:r>
        <w:rPr>
          <w:rFonts w:hint="eastAsia"/>
        </w:rPr>
        <w:t>夏季工况</w:t>
      </w:r>
      <w:r>
        <w:tab/>
      </w:r>
      <w:r>
        <w:fldChar w:fldCharType="begin"/>
      </w:r>
      <w:r>
        <w:instrText xml:space="preserve"> PAGEREF _Toc4785 \h </w:instrText>
      </w:r>
      <w:r>
        <w:fldChar w:fldCharType="separate"/>
      </w:r>
      <w:r>
        <w:t>18</w:t>
      </w:r>
      <w:r>
        <w:fldChar w:fldCharType="end"/>
      </w:r>
      <w:r>
        <w:fldChar w:fldCharType="end"/>
      </w:r>
    </w:p>
    <w:p w14:paraId="46B7B982">
      <w:pPr>
        <w:pStyle w:val="15"/>
        <w:tabs>
          <w:tab w:val="right" w:leader="dot" w:pos="9070"/>
          <w:tab w:val="clear" w:pos="900"/>
          <w:tab w:val="clear" w:pos="1260"/>
          <w:tab w:val="clear" w:pos="9360"/>
        </w:tabs>
      </w:pPr>
      <w:r>
        <w:fldChar w:fldCharType="begin"/>
      </w:r>
      <w:r>
        <w:instrText xml:space="preserve"> HYPERLINK \l _Toc25419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_Toc25419 \h </w:instrText>
      </w:r>
      <w:r>
        <w:fldChar w:fldCharType="separate"/>
      </w:r>
      <w:r>
        <w:t>19</w:t>
      </w:r>
      <w:r>
        <w:fldChar w:fldCharType="end"/>
      </w:r>
      <w:r>
        <w:fldChar w:fldCharType="end"/>
      </w:r>
    </w:p>
    <w:p w14:paraId="37932E43">
      <w:pPr>
        <w:pStyle w:val="15"/>
        <w:tabs>
          <w:tab w:val="right" w:leader="dot" w:pos="9070"/>
          <w:tab w:val="clear" w:pos="900"/>
          <w:tab w:val="clear" w:pos="1260"/>
          <w:tab w:val="clear" w:pos="9360"/>
        </w:tabs>
      </w:pPr>
      <w:r>
        <w:fldChar w:fldCharType="begin"/>
      </w:r>
      <w:r>
        <w:instrText xml:space="preserve"> HYPERLINK \l _Toc9499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_Toc9499 \h </w:instrText>
      </w:r>
      <w:r>
        <w:fldChar w:fldCharType="separate"/>
      </w:r>
      <w:r>
        <w:t>19</w:t>
      </w:r>
      <w:r>
        <w:fldChar w:fldCharType="end"/>
      </w:r>
      <w:r>
        <w:fldChar w:fldCharType="end"/>
      </w:r>
    </w:p>
    <w:p w14:paraId="43A509E8">
      <w:pPr>
        <w:pStyle w:val="15"/>
        <w:tabs>
          <w:tab w:val="right" w:leader="dot" w:pos="9070"/>
          <w:tab w:val="clear" w:pos="900"/>
          <w:tab w:val="clear" w:pos="1260"/>
          <w:tab w:val="clear" w:pos="9360"/>
        </w:tabs>
      </w:pPr>
      <w:r>
        <w:fldChar w:fldCharType="begin"/>
      </w:r>
      <w:r>
        <w:instrText xml:space="preserve"> HYPERLINK \l _Toc26300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_Toc26300 \h </w:instrText>
      </w:r>
      <w:r>
        <w:fldChar w:fldCharType="separate"/>
      </w:r>
      <w:r>
        <w:t>20</w:t>
      </w:r>
      <w:r>
        <w:fldChar w:fldCharType="end"/>
      </w:r>
      <w:r>
        <w:fldChar w:fldCharType="end"/>
      </w:r>
    </w:p>
    <w:p w14:paraId="124D959B">
      <w:pPr>
        <w:pStyle w:val="15"/>
        <w:tabs>
          <w:tab w:val="right" w:leader="dot" w:pos="9070"/>
          <w:tab w:val="clear" w:pos="900"/>
          <w:tab w:val="clear" w:pos="1260"/>
          <w:tab w:val="clear" w:pos="9360"/>
        </w:tabs>
      </w:pPr>
      <w:r>
        <w:fldChar w:fldCharType="begin"/>
      </w:r>
      <w:r>
        <w:instrText xml:space="preserve"> HYPERLINK \l _Toc26328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_Toc26328 \h </w:instrText>
      </w:r>
      <w:r>
        <w:fldChar w:fldCharType="separate"/>
      </w:r>
      <w:r>
        <w:t>20</w:t>
      </w:r>
      <w:r>
        <w:fldChar w:fldCharType="end"/>
      </w:r>
      <w:r>
        <w:fldChar w:fldCharType="end"/>
      </w:r>
    </w:p>
    <w:p w14:paraId="5DD7D532">
      <w:pPr>
        <w:pStyle w:val="20"/>
        <w:tabs>
          <w:tab w:val="right" w:leader="dot" w:pos="9070"/>
          <w:tab w:val="clear" w:pos="540"/>
          <w:tab w:val="clear" w:pos="840"/>
          <w:tab w:val="clear" w:pos="9360"/>
        </w:tabs>
      </w:pPr>
      <w:r>
        <w:fldChar w:fldCharType="begin"/>
      </w:r>
      <w:r>
        <w:instrText xml:space="preserve"> HYPERLINK \l _Toc18683 </w:instrText>
      </w:r>
      <w:r>
        <w:fldChar w:fldCharType="separate"/>
      </w:r>
      <w:r>
        <w:rPr>
          <w:rFonts w:hint="eastAsia"/>
          <w:lang w:val="en-GB"/>
        </w:rPr>
        <w:t xml:space="preserve">5.4 </w:t>
      </w:r>
      <w:r>
        <w:rPr>
          <w:rFonts w:hint="eastAsia"/>
        </w:rPr>
        <w:t>结论</w:t>
      </w:r>
      <w:r>
        <w:tab/>
      </w:r>
      <w:r>
        <w:fldChar w:fldCharType="begin"/>
      </w:r>
      <w:r>
        <w:instrText xml:space="preserve"> PAGEREF _Toc18683 \h </w:instrText>
      </w:r>
      <w:r>
        <w:fldChar w:fldCharType="separate"/>
      </w:r>
      <w:r>
        <w:t>22</w:t>
      </w:r>
      <w:r>
        <w:fldChar w:fldCharType="end"/>
      </w:r>
      <w:r>
        <w:fldChar w:fldCharType="end"/>
      </w:r>
    </w:p>
    <w:p w14:paraId="0B6F302C">
      <w:pPr>
        <w:pStyle w:val="15"/>
        <w:tabs>
          <w:tab w:val="right" w:leader="dot" w:pos="9070"/>
          <w:tab w:val="clear" w:pos="900"/>
          <w:tab w:val="clear" w:pos="1260"/>
          <w:tab w:val="clear" w:pos="9360"/>
        </w:tabs>
      </w:pPr>
      <w:r>
        <w:fldChar w:fldCharType="begin"/>
      </w:r>
      <w:r>
        <w:instrText xml:space="preserve"> HYPERLINK \l _Toc9948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_Toc9948 \h </w:instrText>
      </w:r>
      <w:r>
        <w:fldChar w:fldCharType="separate"/>
      </w:r>
      <w:r>
        <w:t>22</w:t>
      </w:r>
      <w:r>
        <w:fldChar w:fldCharType="end"/>
      </w:r>
      <w:r>
        <w:fldChar w:fldCharType="end"/>
      </w:r>
    </w:p>
    <w:p w14:paraId="615862C7">
      <w:pPr>
        <w:pStyle w:val="15"/>
        <w:tabs>
          <w:tab w:val="right" w:leader="dot" w:pos="9070"/>
          <w:tab w:val="clear" w:pos="900"/>
          <w:tab w:val="clear" w:pos="1260"/>
          <w:tab w:val="clear" w:pos="9360"/>
        </w:tabs>
      </w:pPr>
      <w:r>
        <w:fldChar w:fldCharType="begin"/>
      </w:r>
      <w:r>
        <w:instrText xml:space="preserve"> HYPERLINK \l _Toc15690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_Toc15690 \h </w:instrText>
      </w:r>
      <w:r>
        <w:fldChar w:fldCharType="separate"/>
      </w:r>
      <w:r>
        <w:t>22</w:t>
      </w:r>
      <w:r>
        <w:fldChar w:fldCharType="end"/>
      </w:r>
      <w:r>
        <w:fldChar w:fldCharType="end"/>
      </w:r>
    </w:p>
    <w:p w14:paraId="2149A44B">
      <w:pPr>
        <w:pStyle w:val="20"/>
        <w:tabs>
          <w:tab w:val="right" w:leader="dot" w:pos="9070"/>
          <w:tab w:val="clear" w:pos="540"/>
          <w:tab w:val="clear" w:pos="840"/>
          <w:tab w:val="clear" w:pos="9360"/>
        </w:tabs>
      </w:pPr>
      <w:r>
        <w:fldChar w:fldCharType="begin"/>
      </w:r>
      <w:r>
        <w:instrText xml:space="preserve"> HYPERLINK \l _Toc29438 </w:instrText>
      </w:r>
      <w:r>
        <w:fldChar w:fldCharType="separate"/>
      </w:r>
      <w:r>
        <w:rPr>
          <w:rFonts w:hint="eastAsia"/>
          <w:lang w:val="en-GB"/>
        </w:rPr>
        <w:t xml:space="preserve">5.5 </w:t>
      </w:r>
      <w:r>
        <w:rPr>
          <w:rFonts w:hint="eastAsia"/>
        </w:rPr>
        <w:t>附录</w:t>
      </w:r>
      <w:r>
        <w:tab/>
      </w:r>
      <w:r>
        <w:fldChar w:fldCharType="begin"/>
      </w:r>
      <w:r>
        <w:instrText xml:space="preserve"> PAGEREF _Toc29438 \h </w:instrText>
      </w:r>
      <w:r>
        <w:fldChar w:fldCharType="separate"/>
      </w:r>
      <w:r>
        <w:t>23</w:t>
      </w:r>
      <w:r>
        <w:fldChar w:fldCharType="end"/>
      </w:r>
      <w:r>
        <w:fldChar w:fldCharType="end"/>
      </w:r>
    </w:p>
    <w:p w14:paraId="69FF8472">
      <w:pPr>
        <w:pStyle w:val="15"/>
        <w:tabs>
          <w:tab w:val="right" w:leader="dot" w:pos="9070"/>
          <w:tab w:val="clear" w:pos="900"/>
          <w:tab w:val="clear" w:pos="1260"/>
          <w:tab w:val="clear" w:pos="9360"/>
        </w:tabs>
      </w:pPr>
      <w:r>
        <w:fldChar w:fldCharType="begin"/>
      </w:r>
      <w:r>
        <w:instrText xml:space="preserve"> HYPERLINK \l _Toc2903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_Toc2903 \h </w:instrText>
      </w:r>
      <w:r>
        <w:fldChar w:fldCharType="separate"/>
      </w:r>
      <w:r>
        <w:t>23</w:t>
      </w:r>
      <w:r>
        <w:fldChar w:fldCharType="end"/>
      </w:r>
      <w:r>
        <w:fldChar w:fldCharType="end"/>
      </w:r>
    </w:p>
    <w:p w14:paraId="710B7923">
      <w:pPr>
        <w:pStyle w:val="15"/>
        <w:tabs>
          <w:tab w:val="right" w:leader="dot" w:pos="9070"/>
          <w:tab w:val="clear" w:pos="900"/>
          <w:tab w:val="clear" w:pos="1260"/>
          <w:tab w:val="clear" w:pos="9360"/>
        </w:tabs>
      </w:pPr>
      <w:r>
        <w:fldChar w:fldCharType="begin"/>
      </w:r>
      <w:r>
        <w:instrText xml:space="preserve"> HYPERLINK \l _Toc26782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_Toc26782 \h </w:instrText>
      </w:r>
      <w:r>
        <w:fldChar w:fldCharType="separate"/>
      </w:r>
      <w:r>
        <w:t>23</w:t>
      </w:r>
      <w:r>
        <w:fldChar w:fldCharType="end"/>
      </w:r>
      <w:r>
        <w:fldChar w:fldCharType="end"/>
      </w:r>
    </w:p>
    <w:p w14:paraId="393D9C1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4755682">
      <w:pPr>
        <w:pStyle w:val="2"/>
      </w:pPr>
      <w:bookmarkStart w:id="11" w:name="_Toc452108759"/>
      <w:bookmarkStart w:id="12" w:name="_Toc8165"/>
      <w:r>
        <w:rPr>
          <w:rFonts w:hint="eastAsia"/>
        </w:rPr>
        <w:t>项目概况</w:t>
      </w:r>
      <w:bookmarkEnd w:id="11"/>
      <w:bookmarkEnd w:id="12"/>
    </w:p>
    <w:p w14:paraId="6FAA8A53">
      <w:pPr>
        <w:pStyle w:val="3"/>
        <w:ind w:firstLine="420"/>
        <w:rPr>
          <w:lang w:val="en-US"/>
        </w:rPr>
      </w:pPr>
      <w:bookmarkStart w:id="13" w:name="项目概况"/>
    </w:p>
    <w:p w14:paraId="6BF5CBF8">
      <w:pPr>
        <w:pStyle w:val="3"/>
        <w:ind w:firstLine="420"/>
        <w:rPr>
          <w:lang w:val="en-US"/>
        </w:rPr>
      </w:pPr>
    </w:p>
    <w:p w14:paraId="7DA3843A">
      <w:pPr>
        <w:pStyle w:val="3"/>
        <w:ind w:firstLine="420"/>
        <w:rPr>
          <w:lang w:val="en-US"/>
        </w:rPr>
      </w:pPr>
    </w:p>
    <w:p w14:paraId="05910C26">
      <w:pPr>
        <w:pStyle w:val="3"/>
        <w:ind w:firstLine="420"/>
        <w:rPr>
          <w:lang w:val="en-US"/>
        </w:rPr>
        <w:sectPr>
          <w:pgSz w:w="11906" w:h="16838"/>
          <w:pgMar w:top="822" w:right="1134" w:bottom="992" w:left="709" w:header="283" w:footer="170" w:gutter="0"/>
          <w:cols w:space="720" w:num="1"/>
          <w:docGrid w:type="linesAndChars" w:linePitch="312" w:charSpace="0"/>
        </w:sectPr>
      </w:pPr>
    </w:p>
    <w:p w14:paraId="4C95A054">
      <w:pPr>
        <w:pStyle w:val="4"/>
      </w:pPr>
      <w:bookmarkStart w:id="14" w:name="_Toc452108760"/>
      <w:bookmarkStart w:id="15" w:name="_Toc301"/>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DD8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567" w:type="dxa"/>
            <w:shd w:val="clear" w:color="auto" w:fill="FF99FF"/>
          </w:tcPr>
          <w:p w14:paraId="7D86ACC8">
            <w:pPr>
              <w:pStyle w:val="3"/>
              <w:spacing w:line="240" w:lineRule="auto"/>
              <w:ind w:firstLine="0" w:firstLineChars="0"/>
              <w:jc w:val="center"/>
              <w:rPr>
                <w:lang w:val="en-US"/>
              </w:rPr>
            </w:pPr>
          </w:p>
        </w:tc>
        <w:tc>
          <w:tcPr>
            <w:tcW w:w="1193" w:type="dxa"/>
            <w:vAlign w:val="center"/>
          </w:tcPr>
          <w:p w14:paraId="27A532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6199ED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8E8713B">
            <w:pPr>
              <w:pStyle w:val="3"/>
              <w:spacing w:line="220" w:lineRule="exact"/>
              <w:ind w:firstLine="0" w:firstLineChars="0"/>
              <w:jc w:val="center"/>
              <w:rPr>
                <w:lang w:val="en-US"/>
              </w:rPr>
            </w:pPr>
          </w:p>
        </w:tc>
        <w:tc>
          <w:tcPr>
            <w:tcW w:w="1417" w:type="dxa"/>
            <w:vAlign w:val="center"/>
          </w:tcPr>
          <w:p w14:paraId="21E5055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6B65CD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22E0EB4">
            <w:pPr>
              <w:pStyle w:val="3"/>
              <w:spacing w:line="240" w:lineRule="auto"/>
              <w:ind w:firstLine="0" w:firstLineChars="0"/>
              <w:jc w:val="center"/>
              <w:rPr>
                <w:lang w:val="en-US"/>
              </w:rPr>
            </w:pPr>
          </w:p>
        </w:tc>
        <w:tc>
          <w:tcPr>
            <w:tcW w:w="1418" w:type="dxa"/>
            <w:vAlign w:val="center"/>
          </w:tcPr>
          <w:p w14:paraId="414F9C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40A20C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B9858E1">
            <w:pPr>
              <w:pStyle w:val="3"/>
              <w:spacing w:line="240" w:lineRule="auto"/>
              <w:ind w:firstLine="0" w:firstLineChars="0"/>
              <w:jc w:val="center"/>
              <w:rPr>
                <w:lang w:val="en-US"/>
              </w:rPr>
            </w:pPr>
          </w:p>
        </w:tc>
        <w:tc>
          <w:tcPr>
            <w:tcW w:w="1275" w:type="dxa"/>
            <w:vAlign w:val="center"/>
          </w:tcPr>
          <w:p w14:paraId="06444E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DC9350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C11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D361872">
            <w:pPr>
              <w:pStyle w:val="3"/>
              <w:spacing w:line="240" w:lineRule="auto"/>
              <w:ind w:firstLine="0" w:firstLineChars="0"/>
              <w:jc w:val="center"/>
              <w:rPr>
                <w:lang w:val="en-US"/>
              </w:rPr>
            </w:pPr>
          </w:p>
        </w:tc>
        <w:tc>
          <w:tcPr>
            <w:tcW w:w="1193" w:type="dxa"/>
            <w:vAlign w:val="center"/>
          </w:tcPr>
          <w:p w14:paraId="10F2D61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6B87C3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4889F99">
            <w:pPr>
              <w:pStyle w:val="3"/>
              <w:spacing w:line="220" w:lineRule="exact"/>
              <w:ind w:firstLine="0" w:firstLineChars="0"/>
              <w:jc w:val="center"/>
              <w:rPr>
                <w:lang w:val="en-US"/>
              </w:rPr>
            </w:pPr>
          </w:p>
        </w:tc>
        <w:tc>
          <w:tcPr>
            <w:tcW w:w="1417" w:type="dxa"/>
            <w:vAlign w:val="center"/>
          </w:tcPr>
          <w:p w14:paraId="6E74A08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8012A0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2897CC4">
            <w:pPr>
              <w:pStyle w:val="3"/>
              <w:spacing w:line="240" w:lineRule="auto"/>
              <w:ind w:firstLine="0" w:firstLineChars="0"/>
              <w:jc w:val="center"/>
              <w:rPr>
                <w:lang w:val="en-US"/>
              </w:rPr>
            </w:pPr>
          </w:p>
        </w:tc>
        <w:tc>
          <w:tcPr>
            <w:tcW w:w="1418" w:type="dxa"/>
            <w:vAlign w:val="center"/>
          </w:tcPr>
          <w:p w14:paraId="54736A4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DFFC7D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D776861">
            <w:pPr>
              <w:pStyle w:val="3"/>
              <w:spacing w:line="240" w:lineRule="auto"/>
              <w:ind w:firstLine="0" w:firstLineChars="0"/>
              <w:jc w:val="center"/>
              <w:rPr>
                <w:lang w:val="en-US"/>
              </w:rPr>
            </w:pPr>
          </w:p>
        </w:tc>
        <w:tc>
          <w:tcPr>
            <w:tcW w:w="1275" w:type="dxa"/>
            <w:vAlign w:val="center"/>
          </w:tcPr>
          <w:p w14:paraId="40D1EA8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F264BA7">
      <w:pPr>
        <w:pStyle w:val="3"/>
        <w:ind w:firstLine="0" w:firstLineChars="0"/>
        <w:jc w:val="center"/>
        <w:rPr>
          <w:lang w:val="en-US"/>
        </w:rPr>
      </w:pPr>
    </w:p>
    <w:p w14:paraId="73888051">
      <w:pPr>
        <w:pStyle w:val="3"/>
        <w:ind w:firstLine="0" w:firstLineChars="0"/>
        <w:jc w:val="center"/>
        <w:rPr>
          <w:lang w:val="en-US"/>
        </w:rPr>
      </w:pPr>
    </w:p>
    <w:p w14:paraId="652605FF">
      <w:pPr>
        <w:pStyle w:val="3"/>
        <w:ind w:firstLine="0" w:firstLineChars="0"/>
        <w:jc w:val="center"/>
        <w:rPr>
          <w:lang w:val="en-US"/>
        </w:rPr>
      </w:pPr>
    </w:p>
    <w:p w14:paraId="7F3543FF">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20890AD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671280E">
      <w:pPr>
        <w:pStyle w:val="3"/>
        <w:ind w:firstLine="420"/>
        <w:rPr>
          <w:lang w:val="en-US"/>
        </w:rPr>
        <w:sectPr>
          <w:pgSz w:w="11906" w:h="16838"/>
          <w:pgMar w:top="992" w:right="709" w:bottom="822" w:left="1134" w:header="284" w:footer="170" w:gutter="0"/>
          <w:cols w:space="720" w:num="1"/>
          <w:docGrid w:type="linesAndChars" w:linePitch="312" w:charSpace="0"/>
        </w:sectPr>
      </w:pPr>
    </w:p>
    <w:p w14:paraId="472A19F0">
      <w:pPr>
        <w:pStyle w:val="4"/>
      </w:pPr>
      <w:bookmarkStart w:id="17" w:name="_Toc452108761"/>
      <w:bookmarkStart w:id="18" w:name="_Toc6017"/>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CEB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E6E8B5D">
            <w:pPr>
              <w:pStyle w:val="3"/>
              <w:spacing w:line="240" w:lineRule="auto"/>
              <w:ind w:firstLine="0" w:firstLineChars="0"/>
              <w:jc w:val="center"/>
              <w:rPr>
                <w:lang w:val="en-US"/>
              </w:rPr>
            </w:pPr>
          </w:p>
        </w:tc>
        <w:tc>
          <w:tcPr>
            <w:tcW w:w="1193" w:type="dxa"/>
            <w:vAlign w:val="center"/>
          </w:tcPr>
          <w:p w14:paraId="283858A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46DA9C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8B3CF60">
            <w:pPr>
              <w:pStyle w:val="3"/>
              <w:spacing w:line="220" w:lineRule="exact"/>
              <w:ind w:firstLine="0" w:firstLineChars="0"/>
              <w:jc w:val="center"/>
              <w:rPr>
                <w:lang w:val="en-US"/>
              </w:rPr>
            </w:pPr>
          </w:p>
        </w:tc>
        <w:tc>
          <w:tcPr>
            <w:tcW w:w="1417" w:type="dxa"/>
            <w:vAlign w:val="center"/>
          </w:tcPr>
          <w:p w14:paraId="6C2206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160A37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9B32A3E">
            <w:pPr>
              <w:pStyle w:val="3"/>
              <w:spacing w:line="240" w:lineRule="auto"/>
              <w:ind w:firstLine="0" w:firstLineChars="0"/>
              <w:jc w:val="center"/>
              <w:rPr>
                <w:lang w:val="en-US"/>
              </w:rPr>
            </w:pPr>
          </w:p>
        </w:tc>
        <w:tc>
          <w:tcPr>
            <w:tcW w:w="1418" w:type="dxa"/>
            <w:vAlign w:val="center"/>
          </w:tcPr>
          <w:p w14:paraId="0EEBEE4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B193B9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8C2CE80">
            <w:pPr>
              <w:pStyle w:val="3"/>
              <w:spacing w:line="240" w:lineRule="auto"/>
              <w:ind w:firstLine="0" w:firstLineChars="0"/>
              <w:jc w:val="center"/>
              <w:rPr>
                <w:lang w:val="en-US"/>
              </w:rPr>
            </w:pPr>
          </w:p>
        </w:tc>
        <w:tc>
          <w:tcPr>
            <w:tcW w:w="1275" w:type="dxa"/>
            <w:vAlign w:val="center"/>
          </w:tcPr>
          <w:p w14:paraId="5118FE2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18538F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175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32BAB97">
            <w:pPr>
              <w:pStyle w:val="3"/>
              <w:spacing w:line="240" w:lineRule="auto"/>
              <w:ind w:firstLine="0" w:firstLineChars="0"/>
              <w:jc w:val="center"/>
              <w:rPr>
                <w:lang w:val="en-US"/>
              </w:rPr>
            </w:pPr>
          </w:p>
        </w:tc>
        <w:tc>
          <w:tcPr>
            <w:tcW w:w="1193" w:type="dxa"/>
            <w:vAlign w:val="center"/>
          </w:tcPr>
          <w:p w14:paraId="4D40D07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620611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BC0FF2D">
            <w:pPr>
              <w:pStyle w:val="3"/>
              <w:spacing w:line="220" w:lineRule="exact"/>
              <w:ind w:firstLine="0" w:firstLineChars="0"/>
              <w:jc w:val="center"/>
              <w:rPr>
                <w:lang w:val="en-US"/>
              </w:rPr>
            </w:pPr>
          </w:p>
        </w:tc>
        <w:tc>
          <w:tcPr>
            <w:tcW w:w="1417" w:type="dxa"/>
            <w:vAlign w:val="center"/>
          </w:tcPr>
          <w:p w14:paraId="018B871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D31108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9FD9D21">
            <w:pPr>
              <w:pStyle w:val="3"/>
              <w:spacing w:line="240" w:lineRule="auto"/>
              <w:ind w:firstLine="0" w:firstLineChars="0"/>
              <w:jc w:val="center"/>
              <w:rPr>
                <w:lang w:val="en-US"/>
              </w:rPr>
            </w:pPr>
          </w:p>
        </w:tc>
        <w:tc>
          <w:tcPr>
            <w:tcW w:w="1418" w:type="dxa"/>
            <w:vAlign w:val="center"/>
          </w:tcPr>
          <w:p w14:paraId="0CF8B2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28D601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1D663C3">
            <w:pPr>
              <w:pStyle w:val="3"/>
              <w:spacing w:line="240" w:lineRule="auto"/>
              <w:ind w:firstLine="0" w:firstLineChars="0"/>
              <w:jc w:val="center"/>
              <w:rPr>
                <w:lang w:val="en-US"/>
              </w:rPr>
            </w:pPr>
          </w:p>
        </w:tc>
        <w:tc>
          <w:tcPr>
            <w:tcW w:w="1275" w:type="dxa"/>
            <w:vAlign w:val="center"/>
          </w:tcPr>
          <w:p w14:paraId="3DFC2A8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9986601">
      <w:pPr>
        <w:pStyle w:val="3"/>
        <w:ind w:firstLine="0" w:firstLineChars="0"/>
        <w:jc w:val="center"/>
        <w:rPr>
          <w:lang w:val="en-US"/>
        </w:rPr>
      </w:pPr>
    </w:p>
    <w:p w14:paraId="73B26826">
      <w:pPr>
        <w:pStyle w:val="3"/>
        <w:ind w:firstLine="0" w:firstLineChars="0"/>
        <w:jc w:val="center"/>
        <w:rPr>
          <w:lang w:val="en-US"/>
        </w:rPr>
      </w:pPr>
    </w:p>
    <w:p w14:paraId="4B832D2E">
      <w:pPr>
        <w:pStyle w:val="3"/>
        <w:ind w:firstLine="0" w:firstLineChars="0"/>
        <w:jc w:val="center"/>
        <w:rPr>
          <w:lang w:val="en-US"/>
        </w:rPr>
      </w:pPr>
    </w:p>
    <w:p w14:paraId="46C07EF9">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1898E2FF">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660DD74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3878AF1">
      <w:pPr>
        <w:pStyle w:val="2"/>
      </w:pPr>
      <w:bookmarkStart w:id="20" w:name="_Toc452108762"/>
      <w:bookmarkStart w:id="21" w:name="TitleFormat"/>
      <w:bookmarkStart w:id="22" w:name="_Toc22003"/>
      <w:r>
        <w:rPr>
          <w:rFonts w:hint="eastAsia"/>
        </w:rPr>
        <w:t>计算</w:t>
      </w:r>
      <w:r>
        <w:t>依据</w:t>
      </w:r>
      <w:bookmarkEnd w:id="20"/>
      <w:bookmarkEnd w:id="21"/>
      <w:bookmarkEnd w:id="22"/>
    </w:p>
    <w:p w14:paraId="10162995">
      <w:pPr>
        <w:pStyle w:val="3"/>
        <w:ind w:firstLine="420"/>
        <w:rPr>
          <w:lang w:val="en-US"/>
        </w:rPr>
      </w:pPr>
      <w:r>
        <w:rPr>
          <w:rFonts w:hint="eastAsia"/>
          <w:lang w:val="en-US"/>
        </w:rPr>
        <w:t>本项目主要参照资料为：</w:t>
      </w:r>
    </w:p>
    <w:p w14:paraId="41744574">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1501465E">
      <w:pPr>
        <w:pStyle w:val="3"/>
        <w:numPr>
          <w:ilvl w:val="0"/>
          <w:numId w:val="2"/>
        </w:numPr>
        <w:ind w:firstLineChars="0"/>
        <w:rPr>
          <w:lang w:val="en-US"/>
        </w:rPr>
      </w:pPr>
      <w:r>
        <w:rPr>
          <w:rFonts w:hint="eastAsia"/>
          <w:lang w:val="en-US"/>
        </w:rPr>
        <w:t>《建筑通风效果测试与评价标准》JGJ/T 309—2013</w:t>
      </w:r>
    </w:p>
    <w:p w14:paraId="54FFBF50">
      <w:pPr>
        <w:pStyle w:val="3"/>
        <w:numPr>
          <w:ilvl w:val="0"/>
          <w:numId w:val="2"/>
        </w:numPr>
        <w:ind w:firstLineChars="0"/>
        <w:rPr>
          <w:lang w:val="en-US"/>
        </w:rPr>
      </w:pPr>
      <w:r>
        <w:rPr>
          <w:rFonts w:hint="eastAsia"/>
          <w:lang w:val="en-US"/>
        </w:rPr>
        <w:t>《绿色建筑评价技术细则》</w:t>
      </w:r>
    </w:p>
    <w:p w14:paraId="1FFE2A27">
      <w:pPr>
        <w:pStyle w:val="3"/>
        <w:numPr>
          <w:ilvl w:val="0"/>
          <w:numId w:val="2"/>
        </w:numPr>
        <w:ind w:firstLineChars="0"/>
        <w:rPr>
          <w:lang w:val="en-US"/>
        </w:rPr>
      </w:pPr>
      <w:r>
        <w:rPr>
          <w:rFonts w:hint="eastAsia"/>
          <w:lang w:val="en-US"/>
        </w:rPr>
        <w:t>委托方提供的总平面图、建筑专业设计图纸、设计效果图等图纸资料</w:t>
      </w:r>
    </w:p>
    <w:p w14:paraId="08CC780A">
      <w:pPr>
        <w:pStyle w:val="2"/>
      </w:pPr>
      <w:bookmarkStart w:id="24" w:name="_Toc452108763"/>
      <w:bookmarkStart w:id="25" w:name="_Toc18049"/>
      <w:r>
        <w:rPr>
          <w:rFonts w:hint="eastAsia"/>
        </w:rPr>
        <w:t>参考</w:t>
      </w:r>
      <w:r>
        <w:t>标准</w:t>
      </w:r>
      <w:bookmarkEnd w:id="24"/>
      <w:bookmarkEnd w:id="25"/>
    </w:p>
    <w:p w14:paraId="08C9C906">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E310390">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46B20B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151CD9C0">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0B5EC70">
      <w:pPr>
        <w:pStyle w:val="2"/>
      </w:pPr>
      <w:bookmarkStart w:id="34" w:name="_Toc8342"/>
      <w:r>
        <w:rPr>
          <w:rFonts w:hint="eastAsia"/>
        </w:rPr>
        <w:t>计算原理</w:t>
      </w:r>
      <w:bookmarkEnd w:id="27"/>
      <w:bookmarkEnd w:id="28"/>
      <w:bookmarkEnd w:id="34"/>
    </w:p>
    <w:p w14:paraId="7C3661D3">
      <w:pPr>
        <w:pStyle w:val="4"/>
        <w:numPr>
          <w:ilvl w:val="1"/>
          <w:numId w:val="3"/>
        </w:numPr>
      </w:pPr>
      <w:bookmarkStart w:id="35" w:name="_Toc509844740"/>
      <w:bookmarkStart w:id="36" w:name="_Toc16583"/>
      <w:bookmarkStart w:id="37" w:name="_Toc451698937"/>
      <w:bookmarkStart w:id="38" w:name="_Toc452108765"/>
      <w:r>
        <w:rPr>
          <w:rFonts w:hint="eastAsia"/>
        </w:rPr>
        <w:t>风场计算域</w:t>
      </w:r>
      <w:bookmarkEnd w:id="35"/>
      <w:bookmarkEnd w:id="36"/>
    </w:p>
    <w:p w14:paraId="2D284A80">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5F5E242">
      <w:pPr>
        <w:pStyle w:val="5"/>
        <w:numPr>
          <w:ilvl w:val="2"/>
          <w:numId w:val="3"/>
        </w:numPr>
      </w:pPr>
      <w:bookmarkStart w:id="39" w:name="季节1"/>
      <w:bookmarkStart w:id="40" w:name="_Toc32730"/>
      <w:r>
        <w:rPr>
          <w:rFonts w:hint="eastAsia"/>
        </w:rPr>
        <w:t>冬季</w:t>
      </w:r>
      <w:bookmarkEnd w:id="39"/>
      <w:r>
        <w:rPr>
          <w:rFonts w:hint="eastAsia"/>
        </w:rPr>
        <w:t>工况风场计算域</w:t>
      </w:r>
      <w:bookmarkEnd w:id="40"/>
    </w:p>
    <w:p w14:paraId="29D7558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C25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A8A562C">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2712628">
            <w:pPr>
              <w:pStyle w:val="3"/>
              <w:ind w:firstLine="0" w:firstLineChars="0"/>
              <w:rPr>
                <w:lang w:val="en-US"/>
              </w:rPr>
            </w:pPr>
            <w:bookmarkStart w:id="42" w:name="冬季风场X尺寸"/>
            <w:r>
              <w:t>1485</w:t>
            </w:r>
            <w:bookmarkEnd w:id="42"/>
          </w:p>
        </w:tc>
      </w:tr>
      <w:tr w14:paraId="6EA9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A9FCEC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915626F">
            <w:pPr>
              <w:pStyle w:val="3"/>
              <w:ind w:firstLine="0" w:firstLineChars="0"/>
              <w:rPr>
                <w:lang w:val="en-US"/>
              </w:rPr>
            </w:pPr>
            <w:bookmarkStart w:id="43" w:name="冬季风场Y尺寸"/>
            <w:r>
              <w:t>1140</w:t>
            </w:r>
            <w:bookmarkEnd w:id="43"/>
          </w:p>
        </w:tc>
      </w:tr>
      <w:tr w14:paraId="4BA8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2F0DD7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274CDD7">
            <w:pPr>
              <w:pStyle w:val="3"/>
              <w:ind w:firstLine="0" w:firstLineChars="0"/>
              <w:rPr>
                <w:lang w:val="en-US"/>
              </w:rPr>
            </w:pPr>
            <w:bookmarkStart w:id="44" w:name="冬季风场Z尺寸"/>
            <w:r>
              <w:t>140</w:t>
            </w:r>
            <w:bookmarkEnd w:id="44"/>
          </w:p>
        </w:tc>
      </w:tr>
    </w:tbl>
    <w:p w14:paraId="0FD7AC87">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9263FA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4796AD95">
      <w:pPr>
        <w:pStyle w:val="5"/>
        <w:numPr>
          <w:ilvl w:val="2"/>
          <w:numId w:val="3"/>
        </w:numPr>
      </w:pPr>
      <w:bookmarkStart w:id="47" w:name="_Toc8925"/>
      <w:r>
        <w:rPr>
          <w:rFonts w:hint="eastAsia"/>
        </w:rPr>
        <w:t>夏季工况风场计算域</w:t>
      </w:r>
      <w:bookmarkEnd w:id="47"/>
    </w:p>
    <w:p w14:paraId="27F2D0C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04F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053079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777073A">
            <w:pPr>
              <w:pStyle w:val="3"/>
              <w:ind w:firstLine="0" w:firstLineChars="0"/>
              <w:rPr>
                <w:lang w:val="en-US"/>
              </w:rPr>
            </w:pPr>
            <w:r>
              <w:t>1488</w:t>
            </w:r>
          </w:p>
        </w:tc>
      </w:tr>
      <w:tr w14:paraId="3E36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9C97CFC">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5384142">
            <w:pPr>
              <w:pStyle w:val="3"/>
              <w:ind w:firstLine="0" w:firstLineChars="0"/>
              <w:rPr>
                <w:lang w:val="en-US"/>
              </w:rPr>
            </w:pPr>
            <w:r>
              <w:t>1154</w:t>
            </w:r>
          </w:p>
        </w:tc>
      </w:tr>
      <w:tr w14:paraId="486C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E1E9C9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16D59D9">
            <w:pPr>
              <w:pStyle w:val="3"/>
              <w:ind w:firstLine="0" w:firstLineChars="0"/>
              <w:rPr>
                <w:lang w:val="en-US"/>
              </w:rPr>
            </w:pPr>
            <w:r>
              <w:t>140</w:t>
            </w:r>
          </w:p>
        </w:tc>
      </w:tr>
    </w:tbl>
    <w:p w14:paraId="7EA67A67">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41A9ECD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3E579B47">
      <w:pPr>
        <w:pStyle w:val="3"/>
        <w:ind w:firstLine="315" w:firstLineChars="150"/>
        <w:rPr>
          <w:lang w:val="en-US"/>
        </w:rPr>
      </w:pPr>
      <w:bookmarkStart w:id="48" w:name="计算域"/>
      <w:bookmarkEnd w:id="48"/>
    </w:p>
    <w:p w14:paraId="3E476058">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917DFE8">
      <w:pPr>
        <w:pStyle w:val="4"/>
      </w:pPr>
      <w:bookmarkStart w:id="49" w:name="_Toc7052"/>
      <w:bookmarkStart w:id="50" w:name="_Toc509844741"/>
      <w:r>
        <w:rPr>
          <w:rFonts w:hint="eastAsia"/>
        </w:rPr>
        <w:t>网格划分</w:t>
      </w:r>
      <w:bookmarkEnd w:id="49"/>
    </w:p>
    <w:p w14:paraId="5B349016">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561CEC8">
      <w:pPr>
        <w:pStyle w:val="12"/>
        <w:spacing w:before="156"/>
        <w:ind w:left="426" w:firstLine="0"/>
      </w:pPr>
      <w:r>
        <w:rPr>
          <w:rFonts w:hint="eastAsia"/>
        </w:rPr>
        <w:t>1）一般网格：指除靠近地面和建筑以外的网格，通常不需要特别加密处理</w:t>
      </w:r>
    </w:p>
    <w:p w14:paraId="1BFFFE49">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0F8B52F1">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24293B2">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28124AA8">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7C745740">
      <w:pPr>
        <w:pStyle w:val="12"/>
        <w:spacing w:before="156"/>
        <w:ind w:left="0" w:firstLine="315" w:firstLineChars="150"/>
      </w:pPr>
      <w:r>
        <w:rPr>
          <w:rFonts w:hint="eastAsia"/>
        </w:rPr>
        <w:t>2）地面网格</w:t>
      </w:r>
    </w:p>
    <w:p w14:paraId="37E6E1DD">
      <w:pPr>
        <w:pStyle w:val="12"/>
        <w:spacing w:before="156"/>
        <w:ind w:firstLine="315" w:firstLineChars="150"/>
      </w:pPr>
      <w:r>
        <w:rPr>
          <w:rFonts w:hint="eastAsia"/>
        </w:rPr>
        <w:t>靠近建筑物的区域称为近场，远离建筑物的区域称为远场。</w:t>
      </w:r>
    </w:p>
    <w:p w14:paraId="515E9F64">
      <w:pPr>
        <w:pStyle w:val="12"/>
        <w:spacing w:before="156"/>
        <w:ind w:firstLine="315" w:firstLineChars="150"/>
      </w:pPr>
      <w:r>
        <w:rPr>
          <w:rFonts w:hint="eastAsia"/>
        </w:rPr>
        <w:t>近场的地面网格需要加密，对应地面细分级数较大；而远场地面对应网格较疏，地面细分级数较小。</w:t>
      </w:r>
    </w:p>
    <w:p w14:paraId="39DB166D">
      <w:pPr>
        <w:pStyle w:val="12"/>
        <w:spacing w:before="156"/>
        <w:ind w:firstLine="210" w:firstLineChars="100"/>
      </w:pPr>
      <w:r>
        <w:rPr>
          <w:rFonts w:hint="eastAsia"/>
        </w:rPr>
        <w:t>以下为本项目的网格划分信息，上述网格方案对网格的控制分别体现在相应的网格参数中：</w:t>
      </w:r>
    </w:p>
    <w:p w14:paraId="1D482BC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C41826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27E9F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3A76F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229A4A">
            <w:pPr>
              <w:spacing w:line="240" w:lineRule="auto"/>
              <w:jc w:val="center"/>
              <w:rPr>
                <w:szCs w:val="21"/>
                <w:lang w:val="en-US"/>
              </w:rPr>
            </w:pPr>
            <w:r>
              <w:rPr>
                <w:rFonts w:hint="eastAsia"/>
                <w:szCs w:val="21"/>
                <w:lang w:val="en-US"/>
              </w:rPr>
              <w:t>网格尺寸</w:t>
            </w:r>
          </w:p>
        </w:tc>
      </w:tr>
      <w:tr w14:paraId="1630FEF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56C4761">
            <w:pPr>
              <w:spacing w:line="240" w:lineRule="auto"/>
              <w:jc w:val="center"/>
              <w:rPr>
                <w:szCs w:val="21"/>
                <w:lang w:val="en-US"/>
              </w:rPr>
            </w:pPr>
            <w:bookmarkStart w:id="52" w:name="冬季网格总数"/>
            <w:r>
              <w:t>2965050</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874F21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BF1E6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482D4B6">
            <w:pPr>
              <w:spacing w:line="240" w:lineRule="auto"/>
              <w:jc w:val="center"/>
              <w:rPr>
                <w:szCs w:val="21"/>
                <w:lang w:val="en-US"/>
              </w:rPr>
            </w:pPr>
            <w:bookmarkStart w:id="53" w:name="冬季分弧精度"/>
            <w:r>
              <w:t>0.24</w:t>
            </w:r>
            <w:bookmarkEnd w:id="53"/>
          </w:p>
        </w:tc>
      </w:tr>
      <w:tr w14:paraId="404FCF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1485D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FB9C5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643BB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2710640">
            <w:pPr>
              <w:spacing w:line="240" w:lineRule="auto"/>
              <w:jc w:val="center"/>
              <w:rPr>
                <w:szCs w:val="21"/>
                <w:lang w:val="en-US"/>
              </w:rPr>
            </w:pPr>
            <w:bookmarkStart w:id="54" w:name="最大网格尺寸"/>
            <w:r>
              <w:t>16.0</w:t>
            </w:r>
            <w:bookmarkEnd w:id="54"/>
          </w:p>
        </w:tc>
      </w:tr>
      <w:tr w14:paraId="2D19624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8F7A3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119B6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ADB71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0F96FA8">
            <w:pPr>
              <w:spacing w:line="240" w:lineRule="auto"/>
              <w:jc w:val="center"/>
              <w:rPr>
                <w:szCs w:val="21"/>
                <w:lang w:val="en-US"/>
              </w:rPr>
            </w:pPr>
            <w:bookmarkStart w:id="55" w:name="最小网格尺寸"/>
            <w:r>
              <w:t>4.0</w:t>
            </w:r>
            <w:bookmarkEnd w:id="55"/>
          </w:p>
        </w:tc>
      </w:tr>
      <w:tr w14:paraId="71473EF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A4A59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FED70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8165E8">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8441ED6">
            <w:pPr>
              <w:spacing w:line="240" w:lineRule="auto"/>
              <w:jc w:val="center"/>
              <w:rPr>
                <w:szCs w:val="21"/>
                <w:lang w:val="en-US"/>
              </w:rPr>
            </w:pPr>
            <w:bookmarkStart w:id="56" w:name="建筑表面细分层厚度"/>
            <w:r>
              <w:t>4.0</w:t>
            </w:r>
            <w:bookmarkEnd w:id="56"/>
          </w:p>
        </w:tc>
      </w:tr>
      <w:tr w14:paraId="105C3DF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F0903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53A16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B6657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D531FBC">
            <w:pPr>
              <w:spacing w:line="240" w:lineRule="auto"/>
              <w:jc w:val="center"/>
              <w:rPr>
                <w:szCs w:val="21"/>
                <w:lang w:val="en-US"/>
              </w:rPr>
            </w:pPr>
            <w:bookmarkStart w:id="57" w:name="远场网格尺寸"/>
            <w:r>
              <w:t>8.0</w:t>
            </w:r>
            <w:bookmarkEnd w:id="57"/>
          </w:p>
        </w:tc>
      </w:tr>
      <w:tr w14:paraId="2E304F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483F1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1B36A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22CA3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685EC05">
            <w:pPr>
              <w:spacing w:line="240" w:lineRule="auto"/>
              <w:jc w:val="center"/>
              <w:rPr>
                <w:szCs w:val="21"/>
                <w:lang w:val="en-US"/>
              </w:rPr>
            </w:pPr>
            <w:bookmarkStart w:id="58" w:name="近场网格尺寸"/>
            <w:r>
              <w:t>4.0</w:t>
            </w:r>
            <w:bookmarkEnd w:id="58"/>
          </w:p>
        </w:tc>
      </w:tr>
    </w:tbl>
    <w:p w14:paraId="2348B511">
      <w:pPr>
        <w:rPr>
          <w:szCs w:val="21"/>
          <w:lang w:val="en-US"/>
        </w:rPr>
      </w:pPr>
    </w:p>
    <w:p w14:paraId="10210A70">
      <w:pPr>
        <w:jc w:val="center"/>
      </w:pPr>
      <w:bookmarkStart w:id="59" w:name="网格图"/>
      <w:bookmarkEnd w:id="59"/>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1EB8089F">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6A85411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AAF9A6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97789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189A5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A8C3DD">
            <w:pPr>
              <w:spacing w:line="240" w:lineRule="auto"/>
              <w:jc w:val="center"/>
              <w:rPr>
                <w:szCs w:val="21"/>
                <w:lang w:val="en-US"/>
              </w:rPr>
            </w:pPr>
            <w:r>
              <w:rPr>
                <w:rFonts w:hint="eastAsia"/>
                <w:szCs w:val="21"/>
                <w:lang w:val="en-US"/>
              </w:rPr>
              <w:t>网格尺寸</w:t>
            </w:r>
          </w:p>
        </w:tc>
      </w:tr>
      <w:tr w14:paraId="74D1288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43917E8">
            <w:pPr>
              <w:spacing w:line="240" w:lineRule="auto"/>
              <w:jc w:val="center"/>
              <w:rPr>
                <w:szCs w:val="21"/>
                <w:lang w:val="en-US"/>
              </w:rPr>
            </w:pPr>
            <w:r>
              <w:t>2998036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ABDD1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D94BD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556F9F1">
            <w:pPr>
              <w:spacing w:line="240" w:lineRule="auto"/>
              <w:jc w:val="center"/>
              <w:rPr>
                <w:szCs w:val="21"/>
                <w:lang w:val="en-US"/>
              </w:rPr>
            </w:pPr>
            <w:r>
              <w:t>0.24</w:t>
            </w:r>
          </w:p>
        </w:tc>
      </w:tr>
      <w:tr w14:paraId="538D02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2BA70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62E19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C546E5">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7BFB8F">
            <w:pPr>
              <w:spacing w:line="240" w:lineRule="auto"/>
              <w:jc w:val="center"/>
              <w:rPr>
                <w:szCs w:val="21"/>
                <w:lang w:val="en-US"/>
              </w:rPr>
            </w:pPr>
            <w:r>
              <w:t>16.0</w:t>
            </w:r>
            <w:bookmarkEnd w:id="6"/>
          </w:p>
        </w:tc>
      </w:tr>
      <w:tr w14:paraId="338CA2F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E10A4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5B0E0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64ECB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C9FB65F">
            <w:pPr>
              <w:spacing w:line="240" w:lineRule="auto"/>
              <w:jc w:val="center"/>
              <w:rPr>
                <w:szCs w:val="21"/>
                <w:lang w:val="en-US"/>
              </w:rPr>
            </w:pPr>
            <w:r>
              <w:t>4.0</w:t>
            </w:r>
            <w:bookmarkEnd w:id="7"/>
          </w:p>
        </w:tc>
      </w:tr>
      <w:tr w14:paraId="73E2AA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D3A66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4D80B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B0BE1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8A377E">
            <w:pPr>
              <w:spacing w:line="240" w:lineRule="auto"/>
              <w:jc w:val="center"/>
              <w:rPr>
                <w:szCs w:val="21"/>
                <w:lang w:val="en-US"/>
              </w:rPr>
            </w:pPr>
            <w:r>
              <w:t>4.0</w:t>
            </w:r>
            <w:bookmarkEnd w:id="8"/>
          </w:p>
        </w:tc>
      </w:tr>
      <w:tr w14:paraId="649812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50D76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0B4DD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17BE7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E10351">
            <w:pPr>
              <w:spacing w:line="240" w:lineRule="auto"/>
              <w:jc w:val="center"/>
              <w:rPr>
                <w:szCs w:val="21"/>
                <w:lang w:val="en-US"/>
              </w:rPr>
            </w:pPr>
            <w:r>
              <w:t>8.0</w:t>
            </w:r>
            <w:bookmarkEnd w:id="9"/>
          </w:p>
        </w:tc>
      </w:tr>
      <w:tr w14:paraId="7BE8704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B7E81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F21E6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2E4F4C">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848170">
            <w:pPr>
              <w:spacing w:line="240" w:lineRule="auto"/>
              <w:jc w:val="center"/>
              <w:rPr>
                <w:szCs w:val="21"/>
                <w:lang w:val="en-US"/>
              </w:rPr>
            </w:pPr>
            <w:r>
              <w:t>4.0</w:t>
            </w:r>
            <w:bookmarkEnd w:id="10"/>
          </w:p>
        </w:tc>
      </w:tr>
    </w:tbl>
    <w:p w14:paraId="60B4763F">
      <w:pPr>
        <w:rPr>
          <w:szCs w:val="21"/>
          <w:lang w:val="en-US"/>
        </w:rPr>
      </w:pPr>
    </w:p>
    <w:p w14:paraId="3F7ED53C">
      <w:pPr>
        <w:jc w:val="center"/>
      </w:pPr>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ECD62D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742A5105">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2FF644AD">
      <w:pPr>
        <w:pStyle w:val="3"/>
        <w:ind w:firstLine="0" w:firstLineChars="0"/>
        <w:rPr>
          <w:rFonts w:ascii="黑体" w:hAnsi="黑体" w:eastAsia="黑体"/>
          <w:szCs w:val="20"/>
          <w:lang w:val="en-US"/>
        </w:rPr>
      </w:pPr>
    </w:p>
    <w:p w14:paraId="30E69D59">
      <w:pPr>
        <w:pStyle w:val="4"/>
        <w:numPr>
          <w:ilvl w:val="1"/>
          <w:numId w:val="3"/>
        </w:numPr>
      </w:pPr>
      <w:bookmarkStart w:id="62" w:name="_Toc509844742"/>
      <w:bookmarkStart w:id="63" w:name="_Toc17674"/>
      <w:r>
        <w:rPr>
          <w:rFonts w:hint="eastAsia"/>
        </w:rPr>
        <w:t>边界条件</w:t>
      </w:r>
      <w:bookmarkEnd w:id="62"/>
      <w:bookmarkEnd w:id="63"/>
    </w:p>
    <w:p w14:paraId="4CD33BD7">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3192E91">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45E24DEB">
      <w:pPr>
        <w:pStyle w:val="3"/>
        <w:ind w:firstLine="405" w:firstLineChars="193"/>
      </w:pPr>
      <w:r>
        <w:rPr>
          <w:rFonts w:hint="eastAsia"/>
          <w:lang w:val="en-US"/>
        </w:rPr>
        <w:t>上图展示了计算域中风场边界的类型，本小节将给出不同边界的边界条件。</w:t>
      </w:r>
    </w:p>
    <w:p w14:paraId="300D1B33">
      <w:pPr>
        <w:pStyle w:val="5"/>
      </w:pPr>
      <w:bookmarkStart w:id="64" w:name="_Toc509844743"/>
      <w:bookmarkStart w:id="65" w:name="_Toc9179"/>
      <w:r>
        <w:rPr>
          <w:rFonts w:hint="eastAsia"/>
        </w:rPr>
        <w:t>入口与出口边界条件</w:t>
      </w:r>
      <w:bookmarkEnd w:id="64"/>
      <w:bookmarkEnd w:id="65"/>
    </w:p>
    <w:p w14:paraId="4EEED6A0">
      <w:pPr>
        <w:rPr>
          <w:rFonts w:ascii="黑体" w:hAnsi="黑体" w:eastAsia="黑体"/>
          <w:sz w:val="24"/>
          <w:szCs w:val="24"/>
        </w:rPr>
      </w:pPr>
      <w:r>
        <w:rPr>
          <w:rFonts w:hint="eastAsia" w:ascii="黑体" w:hAnsi="黑体" w:eastAsia="黑体"/>
          <w:sz w:val="24"/>
          <w:szCs w:val="24"/>
        </w:rPr>
        <w:t>1）入口风速梯度</w:t>
      </w:r>
    </w:p>
    <w:p w14:paraId="4B635DFF">
      <w:pPr>
        <w:pStyle w:val="3"/>
        <w:ind w:firstLine="420"/>
        <w:rPr>
          <w:lang w:val="en-US"/>
        </w:rPr>
      </w:pPr>
      <w:r>
        <w:rPr>
          <w:rFonts w:hint="eastAsia"/>
          <w:lang w:val="en-US"/>
        </w:rPr>
        <w:t>本项目中，入口边界条件主要包括不同工况下的风速和风向数据，其中入口风速采用下列梯度风：</w:t>
      </w:r>
    </w:p>
    <w:p w14:paraId="7AC4A155">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512B9CB">
      <w:pPr>
        <w:pStyle w:val="3"/>
        <w:ind w:firstLine="0" w:firstLineChars="0"/>
        <w:rPr>
          <w:lang w:val="en-US"/>
        </w:rPr>
      </w:pPr>
      <w:r>
        <w:rPr>
          <w:rFonts w:hint="eastAsia"/>
          <w:lang w:val="en-US"/>
        </w:rPr>
        <w:t>式中：</w:t>
      </w:r>
    </w:p>
    <w:p w14:paraId="05A50B76">
      <w:pPr>
        <w:pStyle w:val="3"/>
        <w:ind w:firstLine="0" w:firstLineChars="0"/>
        <w:rPr>
          <w:lang w:val="en-US"/>
        </w:rPr>
      </w:pPr>
      <w:r>
        <w:rPr>
          <w:i/>
          <w:sz w:val="24"/>
          <w:lang w:val="en-US"/>
        </w:rPr>
        <w:t>v, z</w:t>
      </w:r>
      <w:r>
        <w:rPr>
          <w:rFonts w:hint="eastAsia"/>
          <w:lang w:val="en-US"/>
        </w:rPr>
        <w:t>——任何一点的平均风速和高度；</w:t>
      </w:r>
    </w:p>
    <w:p w14:paraId="5F80803C">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C276F89">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50B415B0">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11A563E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C36D13B">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E40A160">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514472CE">
            <w:pPr>
              <w:jc w:val="center"/>
              <w:rPr>
                <w:rFonts w:ascii="宋体" w:hAnsi="宋体" w:cs="宋体"/>
                <w:b/>
                <w:bCs/>
                <w:szCs w:val="21"/>
              </w:rPr>
            </w:pPr>
            <w:r>
              <w:rPr>
                <w:rFonts w:hint="eastAsia" w:ascii="宋体" w:hAnsi="宋体" w:cs="宋体"/>
                <w:b/>
                <w:bCs/>
                <w:szCs w:val="21"/>
              </w:rPr>
              <w:t>地面粗糙度指数</w:t>
            </w:r>
          </w:p>
        </w:tc>
      </w:tr>
      <w:tr w14:paraId="5A85E63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D6D024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0076C3D8">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F6BDB15">
            <w:pPr>
              <w:jc w:val="center"/>
              <w:rPr>
                <w:rFonts w:ascii="宋体" w:hAnsi="宋体" w:cs="宋体"/>
                <w:szCs w:val="21"/>
              </w:rPr>
            </w:pPr>
            <w:r>
              <w:rPr>
                <w:rFonts w:hint="eastAsia" w:ascii="宋体" w:hAnsi="宋体" w:cs="宋体"/>
                <w:szCs w:val="21"/>
              </w:rPr>
              <w:t>0.14</w:t>
            </w:r>
          </w:p>
        </w:tc>
      </w:tr>
      <w:tr w14:paraId="5B9FD8F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355A705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0E76ED8">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848E60E">
            <w:pPr>
              <w:jc w:val="center"/>
              <w:rPr>
                <w:rFonts w:ascii="宋体" w:hAnsi="宋体" w:cs="宋体"/>
                <w:szCs w:val="21"/>
              </w:rPr>
            </w:pPr>
            <w:r>
              <w:rPr>
                <w:rFonts w:hint="eastAsia" w:ascii="宋体" w:hAnsi="宋体" w:cs="宋体"/>
                <w:szCs w:val="21"/>
              </w:rPr>
              <w:t>0.22</w:t>
            </w:r>
          </w:p>
        </w:tc>
      </w:tr>
      <w:tr w14:paraId="5A729EE2">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80D5B8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C792FDE">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B8ABF93">
            <w:pPr>
              <w:jc w:val="center"/>
              <w:rPr>
                <w:rFonts w:ascii="宋体" w:hAnsi="宋体" w:cs="宋体"/>
                <w:szCs w:val="21"/>
              </w:rPr>
            </w:pPr>
            <w:r>
              <w:rPr>
                <w:rFonts w:hint="eastAsia" w:ascii="宋体" w:hAnsi="宋体" w:cs="宋体"/>
                <w:szCs w:val="21"/>
              </w:rPr>
              <w:t>0.28</w:t>
            </w:r>
          </w:p>
        </w:tc>
      </w:tr>
    </w:tbl>
    <w:p w14:paraId="4BFFFE29">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44DFB675">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3CE47BE">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04D36860">
      <w:pPr>
        <w:pStyle w:val="5"/>
      </w:pPr>
      <w:bookmarkStart w:id="67" w:name="_Toc509844744"/>
      <w:bookmarkStart w:id="68" w:name="_Toc29628"/>
      <w:r>
        <w:rPr>
          <w:rFonts w:hint="eastAsia"/>
        </w:rPr>
        <w:t>壁面边界条件</w:t>
      </w:r>
      <w:bookmarkEnd w:id="67"/>
      <w:bookmarkEnd w:id="68"/>
    </w:p>
    <w:p w14:paraId="79DAE9F8">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9CBAE5D">
      <w:r>
        <w:rPr>
          <w:rFonts w:hint="eastAsia"/>
        </w:rPr>
        <w:t xml:space="preserve"> </w:t>
      </w:r>
      <w:r>
        <w:t xml:space="preserve"> </w:t>
      </w:r>
      <w:r>
        <w:rPr>
          <w:rFonts w:hint="eastAsia"/>
        </w:rPr>
        <w:t xml:space="preserve">  风场的地面边界设定为无滑移壁面，空气流动要受到地面摩擦力的影响。</w:t>
      </w:r>
    </w:p>
    <w:p w14:paraId="192F2295">
      <w:pPr>
        <w:pStyle w:val="4"/>
        <w:numPr>
          <w:ilvl w:val="1"/>
          <w:numId w:val="3"/>
        </w:numPr>
      </w:pPr>
      <w:bookmarkStart w:id="69" w:name="_Toc1168"/>
      <w:r>
        <w:rPr>
          <w:rFonts w:hint="eastAsia"/>
        </w:rPr>
        <w:t>湍流模型</w:t>
      </w:r>
      <w:bookmarkEnd w:id="37"/>
      <w:bookmarkEnd w:id="38"/>
      <w:bookmarkEnd w:id="69"/>
    </w:p>
    <w:p w14:paraId="0E9E0401">
      <w:pPr>
        <w:pStyle w:val="3"/>
        <w:ind w:firstLine="420"/>
      </w:pPr>
      <w:r>
        <w:rPr>
          <w:rFonts w:hint="eastAsia"/>
        </w:rPr>
        <w:t>湍流模型反映了流体流动的状态，在流体力学数值模拟中，不同的流体流动应该选择合适的湍流模型才会最大限度模拟出真实的流场数值。</w:t>
      </w:r>
    </w:p>
    <w:p w14:paraId="6F74605F">
      <w:pPr>
        <w:pStyle w:val="3"/>
        <w:ind w:firstLine="420"/>
      </w:pPr>
      <w:r>
        <w:rPr>
          <w:rFonts w:hint="eastAsia"/>
        </w:rPr>
        <w:t>本项目依据《绿色建筑评价技术细则》推荐的标准k-ε湍流模型进行室外流场计算。</w:t>
      </w:r>
    </w:p>
    <w:p w14:paraId="42EF9C27">
      <w:pPr>
        <w:pStyle w:val="3"/>
        <w:ind w:firstLine="420"/>
      </w:pPr>
      <w:r>
        <w:rPr>
          <w:rFonts w:hint="eastAsia"/>
        </w:rPr>
        <w:t>下表为几种工程流体中常见的湍流模型适用性：</w:t>
      </w:r>
    </w:p>
    <w:p w14:paraId="296DCDF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DC45D9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9E9B931">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CD5B4BF">
            <w:pPr>
              <w:jc w:val="center"/>
              <w:rPr>
                <w:rFonts w:ascii="宋体" w:hAnsi="宋体" w:cs="宋体"/>
                <w:b/>
                <w:bCs/>
                <w:szCs w:val="21"/>
              </w:rPr>
            </w:pPr>
            <w:r>
              <w:rPr>
                <w:rFonts w:hint="eastAsia" w:ascii="宋体" w:hAnsi="宋体" w:cs="宋体"/>
                <w:b/>
                <w:bCs/>
                <w:szCs w:val="21"/>
              </w:rPr>
              <w:t>特点和适用工况</w:t>
            </w:r>
          </w:p>
        </w:tc>
      </w:tr>
      <w:tr w14:paraId="7D706E3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28858E6">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996D41E">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A584FD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824D27C">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929439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79DBC7F">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C4EA35C">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68C858B">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BE2D6B6">
      <w:pPr>
        <w:pStyle w:val="4"/>
        <w:numPr>
          <w:ilvl w:val="1"/>
          <w:numId w:val="3"/>
        </w:numPr>
      </w:pPr>
      <w:bookmarkStart w:id="70" w:name="_Toc451698939"/>
      <w:bookmarkStart w:id="71" w:name="_Toc452108767"/>
      <w:bookmarkStart w:id="72" w:name="_Toc16476"/>
      <w:r>
        <w:rPr>
          <w:rFonts w:hint="eastAsia"/>
        </w:rPr>
        <w:t>求解计算</w:t>
      </w:r>
      <w:bookmarkEnd w:id="70"/>
      <w:bookmarkEnd w:id="71"/>
      <w:bookmarkEnd w:id="72"/>
    </w:p>
    <w:p w14:paraId="7DD544D7">
      <w:pPr>
        <w:pStyle w:val="3"/>
        <w:numPr>
          <w:ilvl w:val="0"/>
          <w:numId w:val="5"/>
        </w:numPr>
        <w:ind w:firstLineChars="0"/>
        <w:rPr>
          <w:b/>
          <w:lang w:val="en-US"/>
        </w:rPr>
      </w:pPr>
      <w:r>
        <w:rPr>
          <w:rFonts w:hint="eastAsia"/>
          <w:b/>
          <w:lang w:val="en-US"/>
        </w:rPr>
        <w:t>数学模型</w:t>
      </w:r>
    </w:p>
    <w:p w14:paraId="086A26E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9395651">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DC7C727">
      <w:pPr>
        <w:pStyle w:val="3"/>
        <w:ind w:firstLine="525" w:firstLineChars="250"/>
        <w:rPr>
          <w:lang w:val="en-US"/>
        </w:rPr>
      </w:pPr>
      <w:r>
        <w:rPr>
          <w:rFonts w:hint="eastAsia"/>
          <w:lang w:val="en-US"/>
        </w:rPr>
        <w:t>该式中的φ可以是速度、湍流动能、湍流耗散率以及温度等物理量，参照下表</w:t>
      </w:r>
    </w:p>
    <w:p w14:paraId="455DE4BC">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0684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D817D19">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064FC3D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CF08D69">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961D236">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70BB4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A80B6FE">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51970B5">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4BEFA92">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E765129">
            <w:pPr>
              <w:widowControl w:val="0"/>
              <w:jc w:val="both"/>
              <w:rPr>
                <w:rFonts w:cs="Calibri"/>
                <w:kern w:val="2"/>
                <w:szCs w:val="24"/>
              </w:rPr>
            </w:pPr>
            <w:r>
              <w:rPr>
                <w:szCs w:val="24"/>
              </w:rPr>
              <w:t>0</w:t>
            </w:r>
          </w:p>
        </w:tc>
      </w:tr>
      <w:tr w14:paraId="714B29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8B0706D">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7E589B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70053B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BC23C1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C33CE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A3F3CDD">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647250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90374E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38A929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DB919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6B0E31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2A495A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C74E2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FC2CF6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99EC3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534830B">
            <w:pPr>
              <w:rPr>
                <w:rFonts w:cs="Calibri"/>
                <w:kern w:val="2"/>
                <w:szCs w:val="24"/>
              </w:rPr>
            </w:pPr>
            <w:r>
              <w:rPr>
                <w:rFonts w:hint="eastAsia"/>
                <w:szCs w:val="24"/>
              </w:rPr>
              <w:t>湍流</w:t>
            </w:r>
          </w:p>
          <w:p w14:paraId="4FE0B405">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C3B4B5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8399F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509445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88D8F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591361C">
            <w:pPr>
              <w:rPr>
                <w:rFonts w:cs="Calibri"/>
                <w:kern w:val="2"/>
                <w:szCs w:val="24"/>
              </w:rPr>
            </w:pPr>
            <w:r>
              <w:rPr>
                <w:rFonts w:hint="eastAsia"/>
                <w:szCs w:val="24"/>
              </w:rPr>
              <w:t>湍流</w:t>
            </w:r>
          </w:p>
          <w:p w14:paraId="2904D854">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9D4CEA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8DEE7E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00CEC1">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5F85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182BC5D">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B6729E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3DF899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5EC0F78">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CA1C46D">
      <w:pPr>
        <w:pStyle w:val="3"/>
        <w:ind w:firstLine="525" w:firstLineChars="250"/>
        <w:rPr>
          <w:lang w:val="en-US"/>
        </w:rPr>
      </w:pPr>
      <w:r>
        <w:rPr>
          <w:rFonts w:hint="eastAsia"/>
          <w:lang w:val="en-US"/>
        </w:rPr>
        <w:t>上表中的常数如下：</w:t>
      </w:r>
    </w:p>
    <w:p w14:paraId="5C923786">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BCD927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E34A466">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01A3178">
      <w:pPr>
        <w:pStyle w:val="3"/>
        <w:numPr>
          <w:ilvl w:val="0"/>
          <w:numId w:val="5"/>
        </w:numPr>
        <w:ind w:firstLineChars="0"/>
        <w:rPr>
          <w:b/>
          <w:lang w:val="en-US"/>
        </w:rPr>
      </w:pPr>
      <w:r>
        <w:rPr>
          <w:rFonts w:hint="eastAsia"/>
          <w:b/>
          <w:lang w:val="en-US"/>
        </w:rPr>
        <w:t>算法说明</w:t>
      </w:r>
    </w:p>
    <w:p w14:paraId="3CB5B42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514549F2">
      <w:pPr>
        <w:pStyle w:val="4"/>
      </w:pPr>
      <w:bookmarkStart w:id="75" w:name="_Toc509844747"/>
      <w:bookmarkStart w:id="76" w:name="_Toc13072"/>
      <w:r>
        <w:rPr>
          <w:rFonts w:hint="eastAsia"/>
        </w:rPr>
        <w:t>风速放大系数计算</w:t>
      </w:r>
      <w:bookmarkEnd w:id="75"/>
      <w:bookmarkEnd w:id="76"/>
    </w:p>
    <w:p w14:paraId="487B2B9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4A79B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052FBA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6FEBB31">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50C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619C7D2">
            <w:pPr>
              <w:rPr>
                <w:lang w:val="en-US"/>
              </w:rPr>
            </w:pPr>
          </w:p>
        </w:tc>
        <w:tc>
          <w:tcPr>
            <w:tcW w:w="1832" w:type="dxa"/>
            <w:vAlign w:val="center"/>
          </w:tcPr>
          <w:p w14:paraId="1A276E2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BD4191C">
      <w:pPr>
        <w:pStyle w:val="3"/>
        <w:ind w:firstLine="420"/>
        <w:rPr>
          <w:lang w:val="en-US"/>
        </w:rPr>
      </w:pPr>
      <w:r>
        <w:rPr>
          <w:rFonts w:hint="eastAsia"/>
          <w:lang w:val="en-US"/>
        </w:rPr>
        <w:t>其中：</w:t>
      </w:r>
    </w:p>
    <w:p w14:paraId="6AB66E24">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5C1D6AF8">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6A06BB29">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702091F4">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313084DC">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4FE53A4F">
      <w:pPr>
        <w:pStyle w:val="3"/>
        <w:ind w:firstLine="420"/>
        <w:rPr>
          <w:lang w:val="en-US"/>
        </w:rPr>
      </w:pPr>
    </w:p>
    <w:p w14:paraId="355FAC7B">
      <w:pPr>
        <w:pStyle w:val="2"/>
        <w:sectPr>
          <w:pgSz w:w="11906" w:h="16838"/>
          <w:pgMar w:top="1440" w:right="1133" w:bottom="993" w:left="1701" w:header="794" w:footer="170" w:gutter="0"/>
          <w:cols w:space="720" w:num="1"/>
          <w:docGrid w:type="lines" w:linePitch="312" w:charSpace="0"/>
        </w:sectPr>
      </w:pPr>
    </w:p>
    <w:p w14:paraId="04D95C83">
      <w:pPr>
        <w:pStyle w:val="2"/>
      </w:pPr>
      <w:bookmarkStart w:id="78" w:name="_Toc452108768"/>
      <w:bookmarkStart w:id="79" w:name="_Toc30019"/>
      <w:r>
        <w:rPr>
          <w:rFonts w:hint="eastAsia"/>
        </w:rPr>
        <w:t>结果</w:t>
      </w:r>
      <w:r>
        <w:t>分析</w:t>
      </w:r>
      <w:bookmarkEnd w:id="78"/>
      <w:bookmarkEnd w:id="79"/>
    </w:p>
    <w:p w14:paraId="7393B035">
      <w:pPr>
        <w:pStyle w:val="4"/>
        <w:rPr>
          <w:szCs w:val="21"/>
        </w:rPr>
      </w:pPr>
      <w:bookmarkStart w:id="80" w:name="_Toc22117"/>
      <w:r>
        <w:rPr>
          <w:rFonts w:hint="eastAsia"/>
          <w:szCs w:val="21"/>
        </w:rPr>
        <w:t>工况</w:t>
      </w:r>
      <w:r>
        <w:rPr>
          <w:szCs w:val="21"/>
        </w:rPr>
        <w:t>表</w:t>
      </w:r>
      <w:bookmarkEnd w:id="80"/>
    </w:p>
    <w:p w14:paraId="6D004710">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2CA03F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424E4D6F">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3067D7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E132D48">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CD47BE0">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B6BA030">
            <w:pPr>
              <w:jc w:val="center"/>
              <w:rPr>
                <w:rFonts w:ascii="Calibri" w:hAnsi="Calibri"/>
                <w:szCs w:val="21"/>
              </w:rPr>
            </w:pPr>
            <w:r>
              <w:rPr>
                <w:rFonts w:hint="eastAsia" w:ascii="Calibri" w:hAnsi="Calibri"/>
                <w:szCs w:val="21"/>
              </w:rPr>
              <w:t>风向（°</w:t>
            </w:r>
            <w:r>
              <w:rPr>
                <w:rFonts w:ascii="Calibri" w:hAnsi="Calibri"/>
                <w:szCs w:val="21"/>
              </w:rPr>
              <w:t>）</w:t>
            </w:r>
          </w:p>
        </w:tc>
      </w:tr>
      <w:tr w14:paraId="7B485A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5ED551C">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349CAA57">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65AAFDFC">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4" w:space="0"/>
              <w:right w:val="single" w:color="auto" w:sz="4" w:space="0"/>
            </w:tcBorders>
          </w:tcPr>
          <w:p w14:paraId="0B013E87">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7D1421EC">
            <w:pPr>
              <w:rPr>
                <w:rFonts w:ascii="Calibri" w:hAnsi="Calibri"/>
                <w:szCs w:val="21"/>
              </w:rPr>
            </w:pPr>
            <w:r>
              <w:rPr>
                <w:rFonts w:ascii="Calibri" w:hAnsi="Calibri"/>
                <w:szCs w:val="21"/>
              </w:rPr>
              <w:t>67.5</w:t>
            </w:r>
          </w:p>
        </w:tc>
      </w:tr>
      <w:tr w14:paraId="287FC2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DE9D0BE">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4F577A2B">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3D439598">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5CCC0FC3">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582C5F5B">
            <w:pPr>
              <w:rPr>
                <w:rFonts w:ascii="Calibri" w:hAnsi="Calibri"/>
                <w:szCs w:val="21"/>
              </w:rPr>
            </w:pPr>
            <w:r>
              <w:rPr>
                <w:rFonts w:ascii="Calibri" w:hAnsi="Calibri"/>
                <w:szCs w:val="21"/>
              </w:rPr>
              <w:t>225.0</w:t>
            </w:r>
          </w:p>
        </w:tc>
      </w:tr>
      <w:bookmarkEnd w:id="81"/>
    </w:tbl>
    <w:p w14:paraId="7A6A3FC1">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8A604BC">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38FC47D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7F8BB9F">
      <w:pPr>
        <w:pStyle w:val="4"/>
      </w:pPr>
      <w:bookmarkStart w:id="82" w:name="_Toc509844750"/>
      <w:bookmarkStart w:id="83" w:name="_Toc12500"/>
      <w:r>
        <w:rPr>
          <w:rFonts w:hint="eastAsia"/>
        </w:rPr>
        <w:t>冬季工况</w:t>
      </w:r>
      <w:bookmarkEnd w:id="82"/>
      <w:bookmarkEnd w:id="83"/>
    </w:p>
    <w:p w14:paraId="4F05C52B">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2.40</w:t>
      </w:r>
      <w:bookmarkEnd w:id="84"/>
      <w:r>
        <w:rPr>
          <w:rFonts w:ascii="Calibri" w:hAnsi="Calibri"/>
          <w:szCs w:val="21"/>
        </w:rPr>
        <w:t>m/s</w:t>
      </w:r>
      <w:r>
        <w:rPr>
          <w:rFonts w:hint="eastAsia" w:ascii="Calibri" w:hAnsi="Calibri"/>
          <w:szCs w:val="21"/>
        </w:rPr>
        <w:t>，风向为</w:t>
      </w:r>
      <w:bookmarkStart w:id="85" w:name="冬季入口边界风向"/>
      <w:r>
        <w:rPr>
          <w:szCs w:val="21"/>
        </w:rPr>
        <w:t>NNE</w:t>
      </w:r>
      <w:bookmarkEnd w:id="85"/>
      <w:r>
        <w:rPr>
          <w:rFonts w:hint="eastAsia"/>
          <w:szCs w:val="21"/>
        </w:rPr>
        <w:t>。</w:t>
      </w:r>
    </w:p>
    <w:p w14:paraId="08EE1F94">
      <w:pPr>
        <w:pStyle w:val="5"/>
      </w:pPr>
      <w:bookmarkStart w:id="86" w:name="_Toc509844751"/>
      <w:bookmarkStart w:id="87" w:name="_Toc13366"/>
      <w:r>
        <w:rPr>
          <w:rFonts w:hint="eastAsia"/>
        </w:rPr>
        <w:t>风速达标分析</w:t>
      </w:r>
      <w:bookmarkEnd w:id="86"/>
      <w:bookmarkEnd w:id="87"/>
      <w:r>
        <w:rPr>
          <w:rFonts w:hint="eastAsia"/>
        </w:rPr>
        <w:t xml:space="preserve"> </w:t>
      </w:r>
    </w:p>
    <w:p w14:paraId="29875870">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6D18A5BA">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未标示出超标区域，可知人行区域风速为最大值为2.35m/s，小于5m/s，</w:t>
      </w:r>
      <w:r>
        <w:rPr>
          <w:color w:val="0000FF"/>
          <w:lang w:val="en-US"/>
        </w:rPr>
        <w:t>满足</w:t>
      </w:r>
      <w:r>
        <w:rPr>
          <w:lang w:val="en-US"/>
        </w:rPr>
        <w:t>绿标要求。</w:t>
      </w:r>
    </w:p>
    <w:p w14:paraId="72FCDB7D">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24225"/>
                    </a:xfrm>
                    <a:prstGeom prst="rect">
                      <a:avLst/>
                    </a:prstGeom>
                  </pic:spPr>
                </pic:pic>
              </a:graphicData>
            </a:graphic>
          </wp:inline>
        </w:drawing>
      </w:r>
    </w:p>
    <w:p w14:paraId="0FF1563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060F30C9">
      <w:pPr>
        <w:pStyle w:val="3"/>
        <w:ind w:firstLine="420"/>
        <w:rPr>
          <w:lang w:val="en-US"/>
        </w:rPr>
      </w:pPr>
    </w:p>
    <w:p w14:paraId="39D55792">
      <w:pPr>
        <w:pStyle w:val="5"/>
      </w:pPr>
      <w:bookmarkStart w:id="90" w:name="_Toc509844752"/>
      <w:bookmarkStart w:id="91" w:name="_Toc3439"/>
      <w:r>
        <w:rPr>
          <w:rFonts w:hint="eastAsia"/>
        </w:rPr>
        <w:t>风速放大系数达标分析</w:t>
      </w:r>
      <w:bookmarkEnd w:id="90"/>
      <w:bookmarkEnd w:id="91"/>
    </w:p>
    <w:p w14:paraId="76736FB7">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图中未标示出风速放大系数超标区域，因此可知人行区域风速放大系数最大值为1.67，小于2，</w:t>
      </w:r>
      <w:r>
        <w:rPr>
          <w:color w:val="0000FF"/>
          <w:lang w:val="en-US"/>
        </w:rPr>
        <w:t>满足</w:t>
      </w:r>
      <w:r>
        <w:rPr>
          <w:lang w:val="en-US"/>
        </w:rPr>
        <w:t>绿标要求。</w:t>
      </w:r>
    </w:p>
    <w:p w14:paraId="2B673C1B">
      <w:pPr>
        <w:jc w:val="center"/>
      </w:pPr>
      <w:bookmarkStart w:id="93" w:name="冬季工况人行区风速放大系数云图"/>
      <w:bookmarkEnd w:id="93"/>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24225"/>
                    </a:xfrm>
                    <a:prstGeom prst="rect">
                      <a:avLst/>
                    </a:prstGeom>
                  </pic:spPr>
                </pic:pic>
              </a:graphicData>
            </a:graphic>
          </wp:inline>
        </w:drawing>
      </w:r>
    </w:p>
    <w:p w14:paraId="5F5DA6F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08B5FA73">
      <w:pPr>
        <w:pStyle w:val="3"/>
        <w:ind w:firstLine="420"/>
        <w:rPr>
          <w:lang w:val="en-US"/>
        </w:rPr>
      </w:pPr>
    </w:p>
    <w:p w14:paraId="2ED87E73">
      <w:pPr>
        <w:pStyle w:val="3"/>
        <w:ind w:firstLine="420"/>
        <w:rPr>
          <w:rFonts w:ascii="黑体" w:hAnsi="黑体" w:eastAsia="黑体"/>
          <w:szCs w:val="20"/>
          <w:lang w:val="en-US"/>
        </w:rPr>
      </w:pPr>
      <w:r>
        <w:rPr>
          <w:rFonts w:hint="eastAsia" w:ascii="黑体" w:hAnsi="黑体" w:eastAsia="黑体"/>
          <w:szCs w:val="20"/>
          <w:lang w:val="en-US"/>
        </w:rPr>
        <w:t>注：</w:t>
      </w:r>
    </w:p>
    <w:p w14:paraId="41B5D735">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15AF2817">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4" w:name="_Toc509844754"/>
      <w:bookmarkEnd w:id="94"/>
      <w:bookmarkStart w:id="95" w:name="_Toc509844756"/>
      <w:bookmarkEnd w:id="95"/>
      <w:bookmarkStart w:id="96" w:name="_Toc509844757"/>
      <w:bookmarkEnd w:id="96"/>
      <w:bookmarkStart w:id="97" w:name="_Toc509844755"/>
      <w:bookmarkEnd w:id="97"/>
    </w:p>
    <w:p w14:paraId="36621066">
      <w:pPr>
        <w:pStyle w:val="3"/>
        <w:ind w:firstLine="420"/>
        <w:rPr>
          <w:lang w:val="en-US"/>
        </w:rPr>
      </w:pPr>
    </w:p>
    <w:p w14:paraId="44600379">
      <w:pPr>
        <w:pStyle w:val="5"/>
      </w:pPr>
      <w:bookmarkStart w:id="98" w:name="_Toc509844753"/>
      <w:bookmarkStart w:id="99" w:name="_Toc17748"/>
      <w:r>
        <w:rPr>
          <w:rFonts w:hint="eastAsia"/>
        </w:rPr>
        <w:t>冬季工况风速/风速放大系数达标</w:t>
      </w:r>
      <w:bookmarkEnd w:id="98"/>
      <w:r>
        <w:rPr>
          <w:rFonts w:hint="eastAsia"/>
        </w:rPr>
        <w:t>结果汇总</w:t>
      </w:r>
      <w:bookmarkEnd w:id="99"/>
    </w:p>
    <w:p w14:paraId="1FF7A969">
      <w:pPr>
        <w:pStyle w:val="3"/>
        <w:ind w:firstLine="420"/>
      </w:pPr>
      <w:r>
        <w:rPr>
          <w:rFonts w:hint="eastAsia"/>
          <w:lang w:val="en-US"/>
        </w:rPr>
        <w:t>综合上述冬季工况风场中风速和风速放大系数的计算分析，将分析结果汇总如下表：</w:t>
      </w:r>
    </w:p>
    <w:p w14:paraId="21229FE6">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21E4F17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7C147B">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B790E7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EA9DE2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D5406E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E680AD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927A37D">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3FAB1CF1">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B855300">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05E79E7A">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4CA6C93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F5487D">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7BDF6EC">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6159BC3">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F38207A">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bl>
    <w:p w14:paraId="53792780"/>
    <w:p w14:paraId="04701EB9">
      <w:pPr>
        <w:pStyle w:val="5"/>
      </w:pPr>
      <w:bookmarkStart w:id="104" w:name="_Toc18915"/>
      <w:r>
        <w:rPr>
          <w:rFonts w:hint="eastAsia"/>
        </w:rPr>
        <w:t>建筑迎风面和背风面风压分析</w:t>
      </w:r>
      <w:bookmarkEnd w:id="13"/>
      <w:bookmarkEnd w:id="104"/>
    </w:p>
    <w:p w14:paraId="21B8D78E">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6801190">
      <w:pPr>
        <w:pStyle w:val="6"/>
        <w:rPr>
          <w:lang w:val="en-US"/>
        </w:rPr>
      </w:pPr>
      <w:r>
        <w:rPr>
          <w:rFonts w:hint="eastAsia"/>
          <w:lang w:val="en-US"/>
        </w:rPr>
        <w:t>建筑迎风面和背风面风压差计算方法</w:t>
      </w:r>
    </w:p>
    <w:p w14:paraId="5BAEC735">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6D2546C">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C5BD6C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2AACFA6A">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9A84EA8">
        <w:tblPrEx>
          <w:tblCellMar>
            <w:top w:w="0" w:type="dxa"/>
            <w:left w:w="108" w:type="dxa"/>
            <w:bottom w:w="0" w:type="dxa"/>
            <w:right w:w="108" w:type="dxa"/>
          </w:tblCellMar>
        </w:tblPrEx>
        <w:tc>
          <w:tcPr>
            <w:tcW w:w="8188" w:type="dxa"/>
            <w:shd w:val="clear" w:color="auto" w:fill="auto"/>
          </w:tcPr>
          <w:p w14:paraId="138A590C">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1FFDA0D">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1FD543F">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B072362">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A4E84C3">
      <w:pPr>
        <w:pStyle w:val="6"/>
      </w:pPr>
      <w:r>
        <w:rPr>
          <w:rFonts w:hint="eastAsia"/>
        </w:rPr>
        <w:t>建筑迎风面和背风面风压云图</w:t>
      </w:r>
    </w:p>
    <w:p w14:paraId="606A69EC">
      <w:pPr>
        <w:pStyle w:val="13"/>
        <w:jc w:val="center"/>
        <w:rPr>
          <w:lang w:val="en-US"/>
        </w:rPr>
      </w:pPr>
      <w:bookmarkStart w:id="105" w:name="冬季工况建筑迎风面风压云图"/>
      <w:bookmarkEnd w:id="105"/>
      <w:r>
        <w:drawing>
          <wp:inline distT="0" distB="0" distL="0" distR="0">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14:paraId="12632A4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74B7E9F">
      <w:pPr>
        <w:pStyle w:val="13"/>
        <w:jc w:val="center"/>
      </w:pPr>
      <w:bookmarkStart w:id="106" w:name="冬季工况建筑背风面风压云图"/>
      <w:bookmarkEnd w:id="106"/>
      <w:r>
        <w:drawing>
          <wp:inline distT="0" distB="0" distL="0" distR="0">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14:paraId="27E8959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2A95C833">
      <w:pPr>
        <w:jc w:val="center"/>
        <w:rPr>
          <w:rFonts w:ascii="Cambria" w:hAnsi="Cambria" w:eastAsia="黑体"/>
          <w:sz w:val="20"/>
        </w:rPr>
      </w:pPr>
      <w:bookmarkStart w:id="107" w:name="建筑迎背风面风压差表_新增"/>
      <w:bookmarkEnd w:id="107"/>
      <w:bookmarkStart w:id="108" w:name="建筑迎背风面风压差表"/>
    </w:p>
    <w:bookmarkEnd w:id="108"/>
    <w:p w14:paraId="45C6798F">
      <w:pPr>
        <w:pStyle w:val="6"/>
      </w:pPr>
      <w:r>
        <w:rPr>
          <w:rFonts w:hint="eastAsia"/>
        </w:rPr>
        <w:t>建筑迎风和背风面风压差结论汇总</w:t>
      </w:r>
    </w:p>
    <w:p w14:paraId="4796E32A">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0784F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B072B89">
            <w:pPr>
              <w:jc w:val="center"/>
              <w:rPr>
                <w:lang w:val="en-US"/>
              </w:rPr>
            </w:pPr>
            <w:bookmarkStart w:id="109" w:name="建筑迎风和背风面风压差结论汇总表"/>
            <w:r>
              <w:rPr>
                <w:rFonts w:hint="eastAsia"/>
                <w:lang w:val="en-US"/>
              </w:rPr>
              <w:t>建筑编号</w:t>
            </w:r>
          </w:p>
        </w:tc>
        <w:tc>
          <w:tcPr>
            <w:tcW w:w="1276" w:type="dxa"/>
            <w:shd w:val="clear" w:color="auto" w:fill="E6E6E6"/>
            <w:vAlign w:val="center"/>
          </w:tcPr>
          <w:p w14:paraId="419CA570">
            <w:pPr>
              <w:jc w:val="center"/>
              <w:rPr>
                <w:lang w:val="en-US"/>
              </w:rPr>
            </w:pPr>
            <w:r>
              <w:rPr>
                <w:rFonts w:hint="eastAsia"/>
                <w:lang w:val="en-US"/>
              </w:rPr>
              <w:t>迎风面平均风压(Pa)</w:t>
            </w:r>
          </w:p>
        </w:tc>
        <w:tc>
          <w:tcPr>
            <w:tcW w:w="1276" w:type="dxa"/>
            <w:shd w:val="clear" w:color="auto" w:fill="E6E6E6"/>
            <w:vAlign w:val="center"/>
          </w:tcPr>
          <w:p w14:paraId="738254A8">
            <w:pPr>
              <w:jc w:val="center"/>
              <w:rPr>
                <w:lang w:val="en-US"/>
              </w:rPr>
            </w:pPr>
            <w:r>
              <w:rPr>
                <w:rFonts w:hint="eastAsia"/>
                <w:lang w:val="en-US"/>
              </w:rPr>
              <w:t>背风面平均风压(Pa)</w:t>
            </w:r>
          </w:p>
        </w:tc>
        <w:tc>
          <w:tcPr>
            <w:tcW w:w="1701" w:type="dxa"/>
            <w:shd w:val="clear" w:color="auto" w:fill="E6E6E6"/>
            <w:vAlign w:val="center"/>
          </w:tcPr>
          <w:p w14:paraId="7D7B1255">
            <w:pPr>
              <w:jc w:val="center"/>
              <w:rPr>
                <w:lang w:val="en-US"/>
              </w:rPr>
            </w:pPr>
            <w:r>
              <w:rPr>
                <w:rFonts w:hint="eastAsia"/>
                <w:lang w:val="en-US"/>
              </w:rPr>
              <w:t>建筑迎风和背风面风压差(Pa)</w:t>
            </w:r>
          </w:p>
        </w:tc>
        <w:tc>
          <w:tcPr>
            <w:tcW w:w="973" w:type="dxa"/>
            <w:shd w:val="clear" w:color="auto" w:fill="E6E6E6"/>
            <w:vAlign w:val="center"/>
          </w:tcPr>
          <w:p w14:paraId="757657E1">
            <w:pPr>
              <w:jc w:val="center"/>
              <w:rPr>
                <w:lang w:val="en-US"/>
              </w:rPr>
            </w:pPr>
            <w:r>
              <w:rPr>
                <w:rFonts w:hint="eastAsia"/>
                <w:lang w:val="en-US"/>
              </w:rPr>
              <w:t>是否达标</w:t>
            </w:r>
          </w:p>
        </w:tc>
      </w:tr>
      <w:tr w14:paraId="23CA64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B90BC79">
            <w:pPr>
              <w:jc w:val="center"/>
              <w:rPr>
                <w:lang w:val="en-US"/>
              </w:rPr>
            </w:pPr>
            <w:r>
              <w:rPr>
                <w:lang w:val="en-US"/>
              </w:rPr>
              <w:t>未命名</w:t>
            </w:r>
          </w:p>
        </w:tc>
        <w:tc>
          <w:tcPr>
            <w:tcW w:w="1276" w:type="dxa"/>
            <w:shd w:val="clear" w:color="auto" w:fill="auto"/>
            <w:vAlign w:val="center"/>
          </w:tcPr>
          <w:p w14:paraId="7EBBBFD0">
            <w:pPr>
              <w:jc w:val="center"/>
              <w:rPr>
                <w:lang w:val="en-US"/>
              </w:rPr>
            </w:pPr>
            <w:r>
              <w:rPr>
                <w:lang w:val="en-US"/>
              </w:rPr>
              <w:t>0.82</w:t>
            </w:r>
          </w:p>
        </w:tc>
        <w:tc>
          <w:tcPr>
            <w:tcW w:w="1276" w:type="dxa"/>
            <w:shd w:val="clear" w:color="auto" w:fill="auto"/>
            <w:vAlign w:val="center"/>
          </w:tcPr>
          <w:p w14:paraId="0E8EE7B2">
            <w:pPr>
              <w:jc w:val="center"/>
              <w:rPr>
                <w:lang w:val="en-US"/>
              </w:rPr>
            </w:pPr>
            <w:r>
              <w:rPr>
                <w:lang w:val="en-US"/>
              </w:rPr>
              <w:t>-0.61</w:t>
            </w:r>
          </w:p>
        </w:tc>
        <w:tc>
          <w:tcPr>
            <w:tcW w:w="1701" w:type="dxa"/>
            <w:shd w:val="clear" w:color="auto" w:fill="auto"/>
            <w:vAlign w:val="center"/>
          </w:tcPr>
          <w:p w14:paraId="171012E0">
            <w:pPr>
              <w:jc w:val="center"/>
              <w:rPr>
                <w:lang w:val="en-US"/>
              </w:rPr>
            </w:pPr>
            <w:r>
              <w:rPr>
                <w:lang w:val="en-US"/>
              </w:rPr>
              <w:t>1.43</w:t>
            </w:r>
          </w:p>
        </w:tc>
        <w:tc>
          <w:tcPr>
            <w:tcW w:w="973" w:type="dxa"/>
            <w:shd w:val="clear" w:color="auto" w:fill="auto"/>
            <w:vAlign w:val="center"/>
          </w:tcPr>
          <w:p w14:paraId="49623AE4">
            <w:pPr>
              <w:jc w:val="center"/>
              <w:rPr>
                <w:lang w:val="en-US"/>
              </w:rPr>
            </w:pPr>
            <w:r>
              <w:rPr>
                <w:lang w:val="en-US"/>
              </w:rPr>
              <w:t>不参评</w:t>
            </w:r>
          </w:p>
        </w:tc>
      </w:tr>
      <w:tr w14:paraId="0ECFAC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9BD06AE">
            <w:pPr>
              <w:jc w:val="center"/>
              <w:rPr>
                <w:lang w:val="en-US"/>
              </w:rPr>
            </w:pPr>
            <w:r>
              <w:rPr>
                <w:lang w:val="en-US"/>
              </w:rPr>
              <w:t>图书馆</w:t>
            </w:r>
          </w:p>
        </w:tc>
        <w:tc>
          <w:tcPr>
            <w:tcW w:w="1276" w:type="dxa"/>
            <w:shd w:val="clear" w:color="auto" w:fill="auto"/>
            <w:vAlign w:val="center"/>
          </w:tcPr>
          <w:p w14:paraId="4057A67E">
            <w:pPr>
              <w:jc w:val="center"/>
              <w:rPr>
                <w:lang w:val="en-US"/>
              </w:rPr>
            </w:pPr>
            <w:r>
              <w:rPr>
                <w:lang w:val="en-US"/>
              </w:rPr>
              <w:t>1.08</w:t>
            </w:r>
          </w:p>
        </w:tc>
        <w:tc>
          <w:tcPr>
            <w:tcW w:w="1276" w:type="dxa"/>
            <w:shd w:val="clear" w:color="auto" w:fill="auto"/>
            <w:vAlign w:val="center"/>
          </w:tcPr>
          <w:p w14:paraId="3621A2D4">
            <w:pPr>
              <w:jc w:val="center"/>
              <w:rPr>
                <w:lang w:val="en-US"/>
              </w:rPr>
            </w:pPr>
            <w:r>
              <w:rPr>
                <w:lang w:val="en-US"/>
              </w:rPr>
              <w:t>-0.68</w:t>
            </w:r>
          </w:p>
        </w:tc>
        <w:tc>
          <w:tcPr>
            <w:tcW w:w="1701" w:type="dxa"/>
            <w:shd w:val="clear" w:color="auto" w:fill="auto"/>
            <w:vAlign w:val="center"/>
          </w:tcPr>
          <w:p w14:paraId="3323F29B">
            <w:pPr>
              <w:jc w:val="center"/>
              <w:rPr>
                <w:lang w:val="en-US"/>
              </w:rPr>
            </w:pPr>
            <w:r>
              <w:rPr>
                <w:lang w:val="en-US"/>
              </w:rPr>
              <w:t>1.76</w:t>
            </w:r>
          </w:p>
        </w:tc>
        <w:tc>
          <w:tcPr>
            <w:tcW w:w="973" w:type="dxa"/>
            <w:shd w:val="clear" w:color="auto" w:fill="auto"/>
            <w:vAlign w:val="center"/>
          </w:tcPr>
          <w:p w14:paraId="79365C5D">
            <w:pPr>
              <w:jc w:val="center"/>
              <w:rPr>
                <w:lang w:val="en-US"/>
              </w:rPr>
            </w:pPr>
            <w:r>
              <w:rPr>
                <w:lang w:val="en-US"/>
              </w:rPr>
              <w:t>是</w:t>
            </w:r>
          </w:p>
        </w:tc>
      </w:tr>
      <w:bookmarkEnd w:id="109"/>
    </w:tbl>
    <w:p w14:paraId="303A7857">
      <w:pPr>
        <w:rPr>
          <w:lang w:val="en-US"/>
        </w:rPr>
      </w:pPr>
      <w:bookmarkStart w:id="110" w:name="建筑迎风和背风面风压差结论汇总结论"/>
      <w:bookmarkEnd w:id="110"/>
      <w:r>
        <w:rPr>
          <w:lang w:val="en-US"/>
        </w:rPr>
        <w:t>结论：本项目中参评建筑</w:t>
      </w:r>
      <w:r>
        <w:rPr>
          <w:b/>
          <w:color w:val="0000FF"/>
          <w:lang w:val="en-US"/>
        </w:rPr>
        <w:t>满足</w:t>
      </w:r>
      <w:r>
        <w:rPr>
          <w:lang w:val="en-US"/>
        </w:rPr>
        <w:t>“除迎风第一排建筑外，建筑迎风面与背风面表面风压差不超过5Pa”的要求。</w:t>
      </w:r>
    </w:p>
    <w:p w14:paraId="65B74987">
      <w:pPr>
        <w:rPr>
          <w:lang w:val="en-US"/>
        </w:rPr>
      </w:pPr>
      <w:r>
        <w:rPr>
          <w:b/>
          <w:color w:val="000000"/>
          <w:lang w:val="en-US"/>
        </w:rPr>
        <w:t>说明：所有单体建筑各层迎风和背风面风压差信息详见附录。</w:t>
      </w:r>
    </w:p>
    <w:p w14:paraId="62827C88">
      <w:pPr>
        <w:rPr>
          <w:lang w:val="en-US"/>
        </w:rPr>
      </w:pPr>
      <w:bookmarkStart w:id="111" w:name="冬季工况"/>
      <w:bookmarkEnd w:id="111"/>
      <w:r>
        <w:rPr>
          <w:rFonts w:hint="eastAsia"/>
          <w:lang w:val="en-US"/>
        </w:rPr>
        <w:t xml:space="preserve"> </w:t>
      </w:r>
    </w:p>
    <w:p w14:paraId="6DE0FE69">
      <w:pPr>
        <w:pStyle w:val="4"/>
      </w:pPr>
      <w:bookmarkStart w:id="112" w:name="_Toc509844759"/>
      <w:bookmarkStart w:id="113" w:name="_Toc4785"/>
      <w:r>
        <w:rPr>
          <w:rFonts w:hint="eastAsia"/>
        </w:rPr>
        <w:t>夏季工况</w:t>
      </w:r>
      <w:bookmarkEnd w:id="112"/>
      <w:bookmarkEnd w:id="113"/>
    </w:p>
    <w:p w14:paraId="47B87232">
      <w:pPr>
        <w:pStyle w:val="3"/>
        <w:ind w:firstLine="420"/>
      </w:pPr>
      <w:r>
        <w:rPr>
          <w:rFonts w:hint="eastAsia"/>
          <w:lang w:val="en-US"/>
        </w:rPr>
        <w:t>本项目夏季</w:t>
      </w:r>
      <w:bookmarkEnd w:id="2"/>
      <w:r>
        <w:rPr>
          <w:rFonts w:hint="eastAsia"/>
          <w:lang w:val="en-US"/>
        </w:rPr>
        <w:t>工况的入口边界风速为</w:t>
      </w:r>
      <w:bookmarkStart w:id="114" w:name="入口边界风速"/>
      <w:r>
        <w:rPr>
          <w:rFonts w:hint="eastAsia"/>
          <w:lang w:val="en-US"/>
        </w:rPr>
        <w:t>2.50</w:t>
      </w:r>
      <w:bookmarkEnd w:id="114"/>
      <w:r>
        <w:rPr>
          <w:rFonts w:hint="eastAsia"/>
          <w:lang w:val="en-US"/>
        </w:rPr>
        <w:t>m/s，风向为</w:t>
      </w:r>
      <w:bookmarkStart w:id="115" w:name="入口边界风向"/>
      <w:r>
        <w:t>SW</w:t>
      </w:r>
      <w:bookmarkEnd w:id="115"/>
      <w:r>
        <w:rPr>
          <w:rFonts w:hint="eastAsia"/>
          <w:lang w:val="en-US"/>
        </w:rPr>
        <w:t>。</w:t>
      </w:r>
    </w:p>
    <w:p w14:paraId="096FEAC5">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6" w:name="季节4"/>
      <w:r>
        <w:rPr>
          <w:rFonts w:hint="eastAsia"/>
          <w:lang w:val="en-US"/>
        </w:rPr>
        <w:t>夏季</w:t>
      </w:r>
      <w:bookmarkEnd w:id="116"/>
      <w:r>
        <w:rPr>
          <w:rFonts w:hint="eastAsia"/>
          <w:lang w:val="en-US"/>
        </w:rPr>
        <w:t>形成有效的巷道风，优化街区自然通风环境，避免</w:t>
      </w:r>
      <w:bookmarkStart w:id="117" w:name="季节5"/>
      <w:r>
        <w:rPr>
          <w:rFonts w:hint="eastAsia"/>
          <w:lang w:val="en-US"/>
        </w:rPr>
        <w:t>夏季</w:t>
      </w:r>
      <w:bookmarkEnd w:id="117"/>
      <w:r>
        <w:rPr>
          <w:rFonts w:hint="eastAsia"/>
          <w:lang w:val="en-US"/>
        </w:rPr>
        <w:t>人活动区有明显的气流旋涡和无风区，从而造成闷热不适感。因此本项目需要分析人活动区的风速，并作出判断。</w:t>
      </w:r>
    </w:p>
    <w:p w14:paraId="56D64D6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A89AB8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D79D888">
      <w:pPr>
        <w:pStyle w:val="5"/>
      </w:pPr>
      <w:bookmarkStart w:id="118" w:name="_Toc509844760"/>
      <w:bookmarkStart w:id="119" w:name="_Toc25419"/>
      <w:r>
        <w:rPr>
          <w:rFonts w:hint="eastAsia"/>
        </w:rPr>
        <w:t>无风区计算分析</w:t>
      </w:r>
      <w:bookmarkEnd w:id="118"/>
      <w:bookmarkEnd w:id="119"/>
    </w:p>
    <w:p w14:paraId="735168EC">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0" w:name="人活动区风速分析结论"/>
      <w:bookmarkEnd w:id="120"/>
      <w:r>
        <w:t>黑色等值线内的人活动区域风速</w:t>
      </w:r>
      <w:r>
        <w:rPr>
          <w:color w:val="FF0000"/>
        </w:rPr>
        <w:t>小于</w:t>
      </w:r>
      <w:r>
        <w:t>0.2m/s，因此</w:t>
      </w:r>
      <w:r>
        <w:rPr>
          <w:color w:val="FF0000"/>
        </w:rPr>
        <w:t>未满足</w:t>
      </w:r>
      <w:r>
        <w:t>绿标要求，需调整建筑布局优化人行区风速分布。</w:t>
      </w:r>
    </w:p>
    <w:p w14:paraId="276B4C88">
      <w:pPr>
        <w:pStyle w:val="3"/>
        <w:spacing w:after="156" w:afterLines="50"/>
        <w:ind w:firstLine="0" w:firstLineChars="0"/>
        <w:jc w:val="center"/>
      </w:pPr>
      <w:bookmarkStart w:id="121" w:name="人行区风速云图"/>
      <w:bookmarkEnd w:id="121"/>
      <w:r>
        <w:drawing>
          <wp:inline distT="0" distB="0" distL="0" distR="0">
            <wp:extent cx="5667375" cy="33242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324225"/>
                    </a:xfrm>
                    <a:prstGeom prst="rect">
                      <a:avLst/>
                    </a:prstGeom>
                  </pic:spPr>
                </pic:pic>
              </a:graphicData>
            </a:graphic>
          </wp:inline>
        </w:drawing>
      </w:r>
    </w:p>
    <w:p w14:paraId="714874C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268D1260">
      <w:pPr>
        <w:pStyle w:val="3"/>
        <w:ind w:firstLine="420"/>
      </w:pPr>
    </w:p>
    <w:p w14:paraId="27CC31DB">
      <w:pPr>
        <w:pStyle w:val="5"/>
      </w:pPr>
      <w:bookmarkStart w:id="122" w:name="_Toc509844761"/>
      <w:bookmarkStart w:id="123" w:name="_Toc9499"/>
      <w:r>
        <w:rPr>
          <w:rFonts w:hint="eastAsia"/>
        </w:rPr>
        <w:t>旋涡区分析</w:t>
      </w:r>
      <w:bookmarkEnd w:id="122"/>
      <w:bookmarkEnd w:id="123"/>
    </w:p>
    <w:p w14:paraId="2E260BDC">
      <w:pPr>
        <w:pStyle w:val="3"/>
        <w:ind w:firstLine="420"/>
        <w:rPr>
          <w:lang w:val="en-US"/>
        </w:rPr>
      </w:pPr>
      <w:r>
        <w:rPr>
          <w:rFonts w:hint="eastAsia"/>
          <w:lang w:val="en-US"/>
        </w:rPr>
        <w:t>下图为计算域内的风速矢量图，分析下图可知，计算域内没有明显的旋涡产生，本项目建筑布局基本合理。</w:t>
      </w:r>
    </w:p>
    <w:p w14:paraId="77E0860E">
      <w:pPr>
        <w:pStyle w:val="3"/>
        <w:ind w:firstLine="0" w:firstLineChars="0"/>
        <w:jc w:val="center"/>
        <w:rPr>
          <w:lang w:val="en-US"/>
        </w:rPr>
      </w:pPr>
      <w:bookmarkStart w:id="124" w:name="人行区风速矢量图"/>
      <w:bookmarkEnd w:id="124"/>
      <w:r>
        <w:drawing>
          <wp:inline distT="0" distB="0" distL="0" distR="0">
            <wp:extent cx="5667375" cy="3333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33750"/>
                    </a:xfrm>
                    <a:prstGeom prst="rect">
                      <a:avLst/>
                    </a:prstGeom>
                  </pic:spPr>
                </pic:pic>
              </a:graphicData>
            </a:graphic>
          </wp:inline>
        </w:drawing>
      </w:r>
    </w:p>
    <w:p w14:paraId="429DF5F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3484367C">
      <w:pPr>
        <w:pStyle w:val="3"/>
        <w:ind w:firstLine="420"/>
        <w:rPr>
          <w:lang w:val="en-US"/>
        </w:rPr>
      </w:pPr>
    </w:p>
    <w:p w14:paraId="4939689C">
      <w:pPr>
        <w:pStyle w:val="5"/>
      </w:pPr>
      <w:bookmarkStart w:id="125" w:name="_Toc509844762"/>
      <w:bookmarkStart w:id="126" w:name="_Toc26300"/>
      <w:r>
        <w:rPr>
          <w:rFonts w:hint="eastAsia"/>
        </w:rPr>
        <w:t>旋涡区/无风区达标</w:t>
      </w:r>
      <w:bookmarkEnd w:id="125"/>
      <w:r>
        <w:rPr>
          <w:rFonts w:hint="eastAsia"/>
        </w:rPr>
        <w:t>结果汇总</w:t>
      </w:r>
      <w:bookmarkEnd w:id="126"/>
    </w:p>
    <w:p w14:paraId="6FBAD8B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7" w:name="季节8"/>
      <w:r>
        <w:rPr>
          <w:rFonts w:hint="eastAsia" w:ascii="黑体" w:hAnsi="黑体" w:eastAsia="黑体"/>
          <w:sz w:val="20"/>
          <w:szCs w:val="20"/>
        </w:rPr>
        <w:t>夏季</w:t>
      </w:r>
      <w:bookmarkEnd w:id="12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EE246D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195AA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0FB9B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211A35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CA1B27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3E6882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A6DBE1B">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C759326">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3E07AED">
            <w:pPr>
              <w:spacing w:line="240" w:lineRule="auto"/>
              <w:jc w:val="center"/>
              <w:rPr>
                <w:rFonts w:ascii="宋体" w:hAnsi="宋体" w:cs="宋体"/>
                <w:color w:val="000000"/>
                <w:sz w:val="22"/>
                <w:szCs w:val="22"/>
                <w:lang w:val="en-US"/>
              </w:rPr>
            </w:pPr>
            <w:bookmarkStart w:id="128" w:name="是否有无风区"/>
            <w:r>
              <w:rPr>
                <w:rFonts w:hint="eastAsia" w:ascii="宋体" w:hAnsi="宋体" w:cs="宋体"/>
                <w:color w:val="FF0000"/>
                <w:sz w:val="22"/>
                <w:szCs w:val="22"/>
                <w:lang w:val="en-US"/>
              </w:rPr>
              <w:t>是</w:t>
            </w:r>
            <w:bookmarkEnd w:id="128"/>
          </w:p>
        </w:tc>
        <w:tc>
          <w:tcPr>
            <w:tcW w:w="1276" w:type="dxa"/>
            <w:tcBorders>
              <w:top w:val="nil"/>
              <w:left w:val="nil"/>
              <w:bottom w:val="single" w:color="auto" w:sz="4" w:space="0"/>
              <w:right w:val="single" w:color="auto" w:sz="4" w:space="0"/>
            </w:tcBorders>
            <w:shd w:val="clear" w:color="auto" w:fill="auto"/>
            <w:noWrap/>
            <w:vAlign w:val="center"/>
          </w:tcPr>
          <w:p w14:paraId="6FC24B14">
            <w:pPr>
              <w:spacing w:line="240" w:lineRule="auto"/>
              <w:jc w:val="center"/>
              <w:rPr>
                <w:rFonts w:ascii="宋体" w:hAnsi="宋体" w:cs="宋体"/>
                <w:color w:val="000000"/>
                <w:sz w:val="22"/>
                <w:szCs w:val="22"/>
                <w:lang w:val="en-US"/>
              </w:rPr>
            </w:pPr>
            <w:bookmarkStart w:id="129" w:name="无风区达标判断"/>
            <w:r>
              <w:rPr>
                <w:rFonts w:hint="eastAsia" w:ascii="宋体" w:hAnsi="宋体" w:cs="宋体"/>
                <w:color w:val="FF0000"/>
                <w:sz w:val="22"/>
                <w:szCs w:val="22"/>
                <w:lang w:val="en-US"/>
              </w:rPr>
              <w:t>否</w:t>
            </w:r>
            <w:bookmarkEnd w:id="129"/>
          </w:p>
        </w:tc>
      </w:tr>
      <w:tr w14:paraId="579197A2">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4A4241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ED721A2">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D811C27">
            <w:pPr>
              <w:spacing w:line="240" w:lineRule="auto"/>
              <w:jc w:val="center"/>
              <w:rPr>
                <w:rFonts w:ascii="宋体" w:hAnsi="宋体" w:cs="宋体"/>
                <w:color w:val="000000"/>
                <w:sz w:val="22"/>
                <w:szCs w:val="22"/>
                <w:lang w:val="en-US"/>
              </w:rPr>
            </w:pPr>
            <w:bookmarkStart w:id="130" w:name="是否有旋涡区"/>
            <w:r>
              <w:rPr>
                <w:rFonts w:ascii="宋体" w:hAnsi="宋体" w:cs="宋体"/>
                <w:color w:val="000000"/>
                <w:sz w:val="22"/>
                <w:szCs w:val="22"/>
                <w:lang w:val="en-US"/>
              </w:rPr>
              <w:t>否</w:t>
            </w:r>
            <w:bookmarkEnd w:id="130"/>
          </w:p>
        </w:tc>
        <w:tc>
          <w:tcPr>
            <w:tcW w:w="1276" w:type="dxa"/>
            <w:tcBorders>
              <w:top w:val="nil"/>
              <w:left w:val="nil"/>
              <w:bottom w:val="single" w:color="auto" w:sz="4" w:space="0"/>
              <w:right w:val="single" w:color="auto" w:sz="4" w:space="0"/>
            </w:tcBorders>
            <w:shd w:val="clear" w:color="auto" w:fill="auto"/>
            <w:noWrap/>
            <w:vAlign w:val="center"/>
          </w:tcPr>
          <w:p w14:paraId="2C788696">
            <w:pPr>
              <w:spacing w:line="240" w:lineRule="auto"/>
              <w:jc w:val="center"/>
              <w:rPr>
                <w:rFonts w:ascii="宋体" w:hAnsi="宋体" w:cs="宋体"/>
                <w:color w:val="000000"/>
                <w:sz w:val="22"/>
                <w:szCs w:val="22"/>
                <w:lang w:val="en-US"/>
              </w:rPr>
            </w:pPr>
            <w:bookmarkStart w:id="131" w:name="旋涡区达标判断"/>
            <w:r>
              <w:rPr>
                <w:rFonts w:ascii="宋体" w:hAnsi="宋体" w:cs="宋体"/>
                <w:color w:val="000000"/>
                <w:sz w:val="22"/>
                <w:szCs w:val="22"/>
                <w:lang w:val="en-US"/>
              </w:rPr>
              <w:t>是</w:t>
            </w:r>
            <w:bookmarkEnd w:id="131"/>
          </w:p>
        </w:tc>
      </w:tr>
    </w:tbl>
    <w:p w14:paraId="4573D5BA">
      <w:pPr>
        <w:pStyle w:val="5"/>
      </w:pPr>
      <w:bookmarkStart w:id="132" w:name="_Toc504501018"/>
      <w:bookmarkStart w:id="133" w:name="_Toc509844763"/>
      <w:bookmarkStart w:id="134" w:name="_Toc26328"/>
      <w:r>
        <w:rPr>
          <w:rFonts w:hint="eastAsia"/>
        </w:rPr>
        <w:t>外窗内外表面风压</w:t>
      </w:r>
      <w:bookmarkEnd w:id="132"/>
      <w:r>
        <w:rPr>
          <w:rFonts w:hint="eastAsia"/>
        </w:rPr>
        <w:t>差达标分析</w:t>
      </w:r>
      <w:bookmarkEnd w:id="133"/>
      <w:bookmarkEnd w:id="134"/>
    </w:p>
    <w:p w14:paraId="07E93B7C">
      <w:pPr>
        <w:pStyle w:val="3"/>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75C5758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48ACA3D">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7738A19">
      <w:pPr>
        <w:pStyle w:val="3"/>
        <w:ind w:firstLine="0" w:firstLineChars="0"/>
        <w:jc w:val="center"/>
      </w:pPr>
      <w:bookmarkStart w:id="136" w:name="迎风面风压云图"/>
      <w:bookmarkEnd w:id="136"/>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328EF7D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7" w:name="季节10"/>
      <w:r>
        <w:rPr>
          <w:rFonts w:hint="eastAsia" w:ascii="黑体" w:hAnsi="黑体" w:eastAsia="黑体"/>
          <w:sz w:val="20"/>
          <w:szCs w:val="20"/>
        </w:rPr>
        <w:t>夏季</w:t>
      </w:r>
      <w:bookmarkEnd w:id="137"/>
    </w:p>
    <w:p w14:paraId="0CCFBB1B">
      <w:pPr>
        <w:jc w:val="center"/>
      </w:pPr>
      <w:bookmarkStart w:id="138" w:name="背风面风压云图"/>
      <w:bookmarkEnd w:id="138"/>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7319503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39" w:name="季节11"/>
      <w:r>
        <w:rPr>
          <w:rFonts w:hint="eastAsia" w:ascii="黑体" w:hAnsi="黑体" w:eastAsia="黑体"/>
          <w:sz w:val="20"/>
          <w:szCs w:val="20"/>
        </w:rPr>
        <w:t>夏季</w:t>
      </w:r>
      <w:bookmarkEnd w:id="139"/>
      <w:r>
        <w:rPr>
          <w:rFonts w:hint="eastAsia"/>
        </w:rPr>
        <w:t xml:space="preserve"> </w:t>
      </w:r>
    </w:p>
    <w:p w14:paraId="237249F9">
      <w:r>
        <w:rPr>
          <w:rFonts w:hint="eastAsia"/>
        </w:rPr>
        <w:t>下表为依据上图提取的外窗外表面平均风压数据，相当于外窗室内外表面风压差数据，并依据标准做出达标判断：</w:t>
      </w:r>
    </w:p>
    <w:p w14:paraId="4B6764F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8E24D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973EB5D">
            <w:pPr>
              <w:jc w:val="center"/>
              <w:rPr>
                <w:lang w:val="en-US"/>
              </w:rPr>
            </w:pPr>
            <w:bookmarkStart w:id="140" w:name="建筑外窗室内外风压差达标判定"/>
            <w:r>
              <w:rPr>
                <w:rFonts w:hint="eastAsia"/>
                <w:lang w:val="en-US"/>
              </w:rPr>
              <w:t>建筑编号</w:t>
            </w:r>
          </w:p>
        </w:tc>
        <w:tc>
          <w:tcPr>
            <w:tcW w:w="1134" w:type="dxa"/>
            <w:shd w:val="clear" w:color="auto" w:fill="E6E6E6"/>
            <w:vAlign w:val="center"/>
          </w:tcPr>
          <w:p w14:paraId="70B37AB3">
            <w:pPr>
              <w:jc w:val="center"/>
              <w:rPr>
                <w:lang w:val="en-US"/>
              </w:rPr>
            </w:pPr>
            <w:r>
              <w:rPr>
                <w:rFonts w:hint="eastAsia"/>
                <w:lang w:val="en-US"/>
              </w:rPr>
              <w:t>可开启外窗总数</w:t>
            </w:r>
          </w:p>
        </w:tc>
        <w:tc>
          <w:tcPr>
            <w:tcW w:w="1984" w:type="dxa"/>
            <w:shd w:val="clear" w:color="auto" w:fill="E6E6E6"/>
            <w:vAlign w:val="center"/>
          </w:tcPr>
          <w:p w14:paraId="0A60B12F">
            <w:pPr>
              <w:jc w:val="center"/>
              <w:rPr>
                <w:lang w:val="en-US"/>
              </w:rPr>
            </w:pPr>
            <w:r>
              <w:rPr>
                <w:rFonts w:hint="eastAsia"/>
                <w:lang w:val="en-US"/>
              </w:rPr>
              <w:t>室内外风压差大于0.5Pa的外窗总数</w:t>
            </w:r>
          </w:p>
        </w:tc>
        <w:tc>
          <w:tcPr>
            <w:tcW w:w="1116" w:type="dxa"/>
            <w:shd w:val="clear" w:color="auto" w:fill="E6E6E6"/>
            <w:vAlign w:val="center"/>
          </w:tcPr>
          <w:p w14:paraId="21D2A87C">
            <w:pPr>
              <w:jc w:val="center"/>
              <w:rPr>
                <w:lang w:val="en-US"/>
              </w:rPr>
            </w:pPr>
            <w:r>
              <w:rPr>
                <w:rFonts w:hint="eastAsia"/>
                <w:lang w:val="en-US"/>
              </w:rPr>
              <w:t>达标比例（%）</w:t>
            </w:r>
          </w:p>
        </w:tc>
        <w:tc>
          <w:tcPr>
            <w:tcW w:w="708" w:type="dxa"/>
            <w:shd w:val="clear" w:color="auto" w:fill="E6E6E6"/>
            <w:vAlign w:val="center"/>
          </w:tcPr>
          <w:p w14:paraId="10D3A8CD">
            <w:pPr>
              <w:jc w:val="center"/>
              <w:rPr>
                <w:lang w:val="en-US"/>
              </w:rPr>
            </w:pPr>
            <w:r>
              <w:rPr>
                <w:rFonts w:hint="eastAsia"/>
                <w:lang w:val="en-US"/>
              </w:rPr>
              <w:t>是否达标</w:t>
            </w:r>
          </w:p>
        </w:tc>
      </w:tr>
      <w:tr w14:paraId="646936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90AC112">
            <w:pPr>
              <w:jc w:val="center"/>
              <w:rPr>
                <w:lang w:val="en-US"/>
              </w:rPr>
            </w:pPr>
            <w:r>
              <w:rPr>
                <w:lang w:val="en-US"/>
              </w:rPr>
              <w:t>图书馆</w:t>
            </w:r>
          </w:p>
        </w:tc>
        <w:tc>
          <w:tcPr>
            <w:tcW w:w="1134" w:type="dxa"/>
            <w:shd w:val="clear" w:color="auto" w:fill="auto"/>
            <w:vAlign w:val="center"/>
          </w:tcPr>
          <w:p w14:paraId="468F081D">
            <w:pPr>
              <w:jc w:val="center"/>
              <w:rPr>
                <w:lang w:val="en-US"/>
              </w:rPr>
            </w:pPr>
            <w:r>
              <w:rPr>
                <w:lang w:val="en-US"/>
              </w:rPr>
              <w:t>241</w:t>
            </w:r>
          </w:p>
        </w:tc>
        <w:tc>
          <w:tcPr>
            <w:tcW w:w="1984" w:type="dxa"/>
            <w:shd w:val="clear" w:color="auto" w:fill="auto"/>
            <w:vAlign w:val="center"/>
          </w:tcPr>
          <w:p w14:paraId="33F577B9">
            <w:pPr>
              <w:jc w:val="center"/>
              <w:rPr>
                <w:lang w:val="en-US"/>
              </w:rPr>
            </w:pPr>
            <w:r>
              <w:rPr>
                <w:lang w:val="en-US"/>
              </w:rPr>
              <w:t>167</w:t>
            </w:r>
          </w:p>
        </w:tc>
        <w:tc>
          <w:tcPr>
            <w:tcW w:w="1116" w:type="dxa"/>
            <w:shd w:val="clear" w:color="auto" w:fill="auto"/>
            <w:vAlign w:val="center"/>
          </w:tcPr>
          <w:p w14:paraId="67B43D29">
            <w:pPr>
              <w:jc w:val="center"/>
              <w:rPr>
                <w:lang w:val="en-US"/>
              </w:rPr>
            </w:pPr>
            <w:r>
              <w:rPr>
                <w:lang w:val="en-US"/>
              </w:rPr>
              <w:t>69.29</w:t>
            </w:r>
          </w:p>
        </w:tc>
        <w:tc>
          <w:tcPr>
            <w:tcW w:w="708" w:type="dxa"/>
            <w:shd w:val="clear" w:color="auto" w:fill="auto"/>
            <w:vAlign w:val="center"/>
          </w:tcPr>
          <w:p w14:paraId="11BDFBF2">
            <w:pPr>
              <w:jc w:val="center"/>
              <w:rPr>
                <w:lang w:val="en-US"/>
              </w:rPr>
            </w:pPr>
            <w:r>
              <w:rPr>
                <w:lang w:val="en-US"/>
              </w:rPr>
              <w:t>是</w:t>
            </w:r>
          </w:p>
        </w:tc>
      </w:tr>
      <w:bookmarkEnd w:id="140"/>
    </w:tbl>
    <w:p w14:paraId="503BEB1D">
      <w:r>
        <w:rPr>
          <w:rFonts w:hint="eastAsia"/>
          <w:lang w:val="en-US"/>
        </w:rPr>
        <w:t>说明：达标比例＝（室内外风压差大于0.5Pa的总数/可开启外窗总数）*100％</w:t>
      </w:r>
    </w:p>
    <w:bookmarkEnd w:id="30"/>
    <w:p w14:paraId="7C4996A4">
      <w:pPr>
        <w:rPr>
          <w:lang w:val="en-US"/>
        </w:rPr>
      </w:pPr>
    </w:p>
    <w:p w14:paraId="3740B40C">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8A19DBA">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20BC4A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3A0A9120">
            <w:pPr>
              <w:spacing w:line="360" w:lineRule="exact"/>
              <w:jc w:val="center"/>
              <w:rPr>
                <w:lang w:val="en-US"/>
              </w:rPr>
            </w:pPr>
            <w:bookmarkStart w:id="141" w:name="建筑室内外风压差达标判定"/>
            <w:r>
              <w:rPr>
                <w:rFonts w:hint="eastAsia"/>
                <w:lang w:val="en-US"/>
              </w:rPr>
              <w:t>建筑编号</w:t>
            </w:r>
          </w:p>
        </w:tc>
        <w:tc>
          <w:tcPr>
            <w:tcW w:w="1417" w:type="dxa"/>
            <w:shd w:val="clear" w:color="auto" w:fill="E6E6E6"/>
            <w:vAlign w:val="center"/>
          </w:tcPr>
          <w:p w14:paraId="1975BAE3">
            <w:pPr>
              <w:spacing w:line="360" w:lineRule="exact"/>
              <w:jc w:val="center"/>
              <w:rPr>
                <w:lang w:val="en-US"/>
              </w:rPr>
            </w:pPr>
            <w:r>
              <w:rPr>
                <w:rFonts w:hint="eastAsia"/>
                <w:lang w:val="en-US"/>
              </w:rPr>
              <w:t>建筑表面积（㎡）</w:t>
            </w:r>
          </w:p>
        </w:tc>
        <w:tc>
          <w:tcPr>
            <w:tcW w:w="2552" w:type="dxa"/>
            <w:shd w:val="clear" w:color="auto" w:fill="E6E6E6"/>
            <w:vAlign w:val="center"/>
          </w:tcPr>
          <w:p w14:paraId="08F7E565">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5E4442B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575261DF">
            <w:pPr>
              <w:spacing w:line="360" w:lineRule="exact"/>
              <w:jc w:val="center"/>
              <w:rPr>
                <w:lang w:val="en-US"/>
              </w:rPr>
            </w:pPr>
            <w:r>
              <w:rPr>
                <w:rFonts w:hint="eastAsia"/>
                <w:lang w:val="en-US"/>
              </w:rPr>
              <w:t>是否达标</w:t>
            </w:r>
          </w:p>
        </w:tc>
      </w:tr>
      <w:tr w14:paraId="4396CD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20586D9">
            <w:pPr>
              <w:spacing w:line="360" w:lineRule="exact"/>
              <w:jc w:val="center"/>
              <w:rPr>
                <w:lang w:val="en-US"/>
              </w:rPr>
            </w:pPr>
            <w:r>
              <w:rPr>
                <w:lang w:val="en-US"/>
              </w:rPr>
              <w:t>未命名</w:t>
            </w:r>
          </w:p>
        </w:tc>
        <w:tc>
          <w:tcPr>
            <w:tcW w:w="1417" w:type="dxa"/>
            <w:vAlign w:val="center"/>
          </w:tcPr>
          <w:p w14:paraId="1C5B2F79">
            <w:pPr>
              <w:spacing w:line="360" w:lineRule="exact"/>
              <w:jc w:val="center"/>
              <w:rPr>
                <w:lang w:val="en-US"/>
              </w:rPr>
            </w:pPr>
            <w:r>
              <w:rPr>
                <w:lang w:val="en-US"/>
              </w:rPr>
              <w:t>537686.00</w:t>
            </w:r>
          </w:p>
        </w:tc>
        <w:tc>
          <w:tcPr>
            <w:tcW w:w="2552" w:type="dxa"/>
            <w:vAlign w:val="center"/>
          </w:tcPr>
          <w:p w14:paraId="6731B4D0">
            <w:pPr>
              <w:spacing w:line="360" w:lineRule="exact"/>
              <w:jc w:val="center"/>
              <w:rPr>
                <w:lang w:val="en-US"/>
              </w:rPr>
            </w:pPr>
            <w:r>
              <w:rPr>
                <w:lang w:val="en-US"/>
              </w:rPr>
              <w:t>423215.00</w:t>
            </w:r>
          </w:p>
        </w:tc>
        <w:tc>
          <w:tcPr>
            <w:tcW w:w="1134" w:type="dxa"/>
            <w:vAlign w:val="center"/>
          </w:tcPr>
          <w:p w14:paraId="59C7323D">
            <w:pPr>
              <w:spacing w:line="360" w:lineRule="exact"/>
              <w:jc w:val="center"/>
              <w:rPr>
                <w:lang w:val="en-US"/>
              </w:rPr>
            </w:pPr>
            <w:r>
              <w:rPr>
                <w:lang w:val="en-US"/>
              </w:rPr>
              <w:t>78.71</w:t>
            </w:r>
          </w:p>
        </w:tc>
        <w:tc>
          <w:tcPr>
            <w:tcW w:w="835" w:type="dxa"/>
            <w:vAlign w:val="center"/>
          </w:tcPr>
          <w:p w14:paraId="19D02545">
            <w:pPr>
              <w:spacing w:line="360" w:lineRule="exact"/>
              <w:jc w:val="center"/>
              <w:rPr>
                <w:lang w:val="en-US"/>
              </w:rPr>
            </w:pPr>
            <w:r>
              <w:rPr>
                <w:lang w:val="en-US"/>
              </w:rPr>
              <w:t>是</w:t>
            </w:r>
          </w:p>
        </w:tc>
      </w:tr>
      <w:bookmarkEnd w:id="141"/>
    </w:tbl>
    <w:p w14:paraId="494A59D1">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1166E0E">
      <w:r>
        <w:rPr>
          <w:rFonts w:hint="eastAsia"/>
        </w:rPr>
        <w:t xml:space="preserve"> </w:t>
      </w:r>
      <w:bookmarkEnd w:id="31"/>
    </w:p>
    <w:p w14:paraId="61BCFDE0">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14:paraId="07C2EEF7">
      <w:pPr>
        <w:rPr>
          <w:lang w:val="en-US"/>
        </w:rPr>
      </w:pPr>
      <w:bookmarkStart w:id="143" w:name="其他工况"/>
      <w:bookmarkEnd w:id="143"/>
      <w:r>
        <w:rPr>
          <w:rFonts w:hint="eastAsia"/>
          <w:lang w:val="en-US"/>
        </w:rPr>
        <w:t xml:space="preserve"> </w:t>
      </w:r>
    </w:p>
    <w:p w14:paraId="7F124B2A">
      <w:pPr>
        <w:pStyle w:val="4"/>
      </w:pPr>
      <w:bookmarkStart w:id="144" w:name="_Toc509844764"/>
      <w:bookmarkStart w:id="145" w:name="_Toc18683"/>
      <w:r>
        <w:rPr>
          <w:rFonts w:hint="eastAsia"/>
        </w:rPr>
        <w:t>结论</w:t>
      </w:r>
      <w:bookmarkEnd w:id="144"/>
      <w:bookmarkEnd w:id="145"/>
    </w:p>
    <w:p w14:paraId="4DA778F0">
      <w:pPr>
        <w:pStyle w:val="5"/>
      </w:pPr>
      <w:bookmarkStart w:id="146" w:name="_Toc509844765"/>
      <w:bookmarkStart w:id="147" w:name="_Toc9948"/>
      <w:r>
        <w:rPr>
          <w:rFonts w:hint="eastAsia"/>
        </w:rPr>
        <w:t>冬季工况达标判断</w:t>
      </w:r>
      <w:bookmarkEnd w:id="146"/>
      <w:bookmarkEnd w:id="147"/>
      <w:bookmarkStart w:id="148" w:name="_Toc509844766"/>
      <w:bookmarkEnd w:id="148"/>
    </w:p>
    <w:p w14:paraId="23B8D05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D925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89F4C7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471FF99">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911DD7B">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92F1F39">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1C56D61">
            <w:pPr>
              <w:jc w:val="center"/>
              <w:rPr>
                <w:lang w:val="en-US"/>
              </w:rPr>
            </w:pPr>
            <w:r>
              <w:rPr>
                <w:rFonts w:hint="eastAsia"/>
                <w:lang w:val="en-US"/>
              </w:rPr>
              <w:t>得分</w:t>
            </w:r>
          </w:p>
        </w:tc>
      </w:tr>
      <w:tr w14:paraId="282FC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1015FBE">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95023A2">
            <w:pPr>
              <w:rPr>
                <w:lang w:val="en-US"/>
              </w:rPr>
            </w:pPr>
            <w:r>
              <w:rPr>
                <w:rFonts w:hint="eastAsia"/>
                <w:lang w:val="en-US"/>
              </w:rPr>
              <w:t>建筑物周围人行区距地高1. 5m处风速小于5m/s, 户外休息区、儿童娱乐区风速小于2m/s, 且室外风速放大系数小于2, 得</w:t>
            </w:r>
            <w:bookmarkStart w:id="149" w:name="标准要求冬季风速得分"/>
            <w:r>
              <w:rPr>
                <w:rFonts w:hint="eastAsia"/>
                <w:lang w:val="en-US"/>
              </w:rPr>
              <w:t>3</w:t>
            </w:r>
            <w:bookmarkEnd w:id="149"/>
            <w:r>
              <w:rPr>
                <w:rFonts w:hint="eastAsia"/>
                <w:lang w:val="en-US"/>
              </w:rPr>
              <w:t>分；</w:t>
            </w:r>
          </w:p>
        </w:tc>
        <w:tc>
          <w:tcPr>
            <w:tcW w:w="1985" w:type="dxa"/>
            <w:tcBorders>
              <w:top w:val="single" w:color="auto" w:sz="4" w:space="0"/>
            </w:tcBorders>
            <w:shd w:val="clear" w:color="auto" w:fill="auto"/>
            <w:vAlign w:val="center"/>
          </w:tcPr>
          <w:p w14:paraId="47F561CE">
            <w:pPr>
              <w:jc w:val="center"/>
              <w:rPr>
                <w:lang w:val="en-US"/>
              </w:rPr>
            </w:pPr>
            <w:r>
              <w:rPr>
                <w:rFonts w:hint="eastAsia"/>
                <w:lang w:val="en-US"/>
              </w:rPr>
              <w:t>计算域</w:t>
            </w:r>
            <w:bookmarkStart w:id="150" w:name="冬季风速结果计算域"/>
            <w:r>
              <w:t>没有出现</w:t>
            </w:r>
            <w:bookmarkEnd w:id="150"/>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13943858">
            <w:pPr>
              <w:jc w:val="center"/>
              <w:rPr>
                <w:b/>
                <w:lang w:val="en-US"/>
              </w:rPr>
            </w:pPr>
            <w:bookmarkStart w:id="151" w:name="冬季风速达标判定"/>
            <w:r>
              <w:rPr>
                <w:rFonts w:hint="eastAsia"/>
                <w:b/>
                <w:lang w:val="en-US"/>
              </w:rPr>
              <w:t>达标</w:t>
            </w:r>
            <w:bookmarkEnd w:id="151"/>
          </w:p>
        </w:tc>
        <w:tc>
          <w:tcPr>
            <w:tcW w:w="1416" w:type="dxa"/>
            <w:vMerge w:val="restart"/>
            <w:tcBorders>
              <w:top w:val="single" w:color="auto" w:sz="4" w:space="0"/>
            </w:tcBorders>
            <w:shd w:val="clear" w:color="auto" w:fill="auto"/>
            <w:vAlign w:val="center"/>
          </w:tcPr>
          <w:p w14:paraId="37FC2316">
            <w:pPr>
              <w:jc w:val="center"/>
              <w:rPr>
                <w:lang w:val="en-US"/>
              </w:rPr>
            </w:pPr>
            <w:bookmarkStart w:id="152" w:name="冬季风速得分"/>
            <w:r>
              <w:rPr>
                <w:rFonts w:hint="eastAsia"/>
                <w:lang w:val="en-US"/>
              </w:rPr>
              <w:t>3</w:t>
            </w:r>
            <w:bookmarkEnd w:id="152"/>
            <w:r>
              <w:rPr>
                <w:rFonts w:hint="eastAsia"/>
                <w:lang w:val="en-US"/>
              </w:rPr>
              <w:t>分</w:t>
            </w:r>
          </w:p>
        </w:tc>
      </w:tr>
      <w:tr w14:paraId="7F67F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16474EC">
            <w:pPr>
              <w:jc w:val="center"/>
              <w:rPr>
                <w:lang w:val="en-US"/>
              </w:rPr>
            </w:pPr>
            <w:r>
              <w:rPr>
                <w:rFonts w:hint="eastAsia"/>
                <w:lang w:val="en-US"/>
              </w:rPr>
              <w:t>风速放大系数</w:t>
            </w:r>
          </w:p>
        </w:tc>
        <w:tc>
          <w:tcPr>
            <w:tcW w:w="1985" w:type="dxa"/>
            <w:vMerge w:val="continue"/>
            <w:shd w:val="clear" w:color="auto" w:fill="auto"/>
          </w:tcPr>
          <w:p w14:paraId="5A8C30E3">
            <w:pPr>
              <w:jc w:val="center"/>
              <w:rPr>
                <w:lang w:val="en-US"/>
              </w:rPr>
            </w:pPr>
          </w:p>
        </w:tc>
        <w:tc>
          <w:tcPr>
            <w:tcW w:w="1985" w:type="dxa"/>
            <w:shd w:val="clear" w:color="auto" w:fill="auto"/>
            <w:vAlign w:val="center"/>
          </w:tcPr>
          <w:p w14:paraId="7317571F">
            <w:pPr>
              <w:jc w:val="center"/>
              <w:rPr>
                <w:lang w:val="en-US"/>
              </w:rPr>
            </w:pPr>
            <w:r>
              <w:rPr>
                <w:rFonts w:hint="eastAsia"/>
                <w:lang w:val="en-US"/>
              </w:rPr>
              <w:t>计算域</w:t>
            </w:r>
            <w:bookmarkStart w:id="153" w:name="冬季风速放大系数结果计算域"/>
            <w:r>
              <w:t>没有出现</w:t>
            </w:r>
            <w:bookmarkEnd w:id="153"/>
            <w:r>
              <w:rPr>
                <w:rFonts w:hint="eastAsia"/>
                <w:lang w:val="en-US"/>
              </w:rPr>
              <w:t>风速放大系数大于等于2的区域</w:t>
            </w:r>
          </w:p>
        </w:tc>
        <w:tc>
          <w:tcPr>
            <w:tcW w:w="1985" w:type="dxa"/>
            <w:vMerge w:val="continue"/>
            <w:shd w:val="clear" w:color="auto" w:fill="auto"/>
          </w:tcPr>
          <w:p w14:paraId="3EA84C14">
            <w:pPr>
              <w:jc w:val="center"/>
              <w:rPr>
                <w:lang w:val="en-US"/>
              </w:rPr>
            </w:pPr>
          </w:p>
        </w:tc>
        <w:tc>
          <w:tcPr>
            <w:tcW w:w="1416" w:type="dxa"/>
            <w:vMerge w:val="continue"/>
            <w:shd w:val="clear" w:color="auto" w:fill="auto"/>
          </w:tcPr>
          <w:p w14:paraId="78952B0C">
            <w:pPr>
              <w:jc w:val="center"/>
              <w:rPr>
                <w:lang w:val="en-US"/>
              </w:rPr>
            </w:pPr>
          </w:p>
        </w:tc>
      </w:tr>
      <w:tr w14:paraId="3415D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5DD87E6">
            <w:pPr>
              <w:jc w:val="center"/>
              <w:rPr>
                <w:lang w:val="en-US"/>
              </w:rPr>
            </w:pPr>
            <w:r>
              <w:rPr>
                <w:rFonts w:hint="eastAsia"/>
                <w:lang w:val="en-US"/>
              </w:rPr>
              <w:t>建筑迎风面/背风面风压值</w:t>
            </w:r>
          </w:p>
        </w:tc>
        <w:tc>
          <w:tcPr>
            <w:tcW w:w="1985" w:type="dxa"/>
            <w:shd w:val="clear" w:color="auto" w:fill="auto"/>
          </w:tcPr>
          <w:p w14:paraId="677047F1">
            <w:pPr>
              <w:jc w:val="center"/>
              <w:rPr>
                <w:lang w:val="en-US"/>
              </w:rPr>
            </w:pPr>
            <w:r>
              <w:rPr>
                <w:rFonts w:hint="eastAsia"/>
                <w:lang w:val="en-US"/>
              </w:rPr>
              <w:t>除迎风第一排建筑外，建筑迎风面与背风面表面风压差不超过5Pa，得</w:t>
            </w:r>
            <w:bookmarkStart w:id="154" w:name="标准要求冬季风压得分"/>
            <w:r>
              <w:rPr>
                <w:rFonts w:hint="eastAsia"/>
                <w:lang w:val="en-US"/>
              </w:rPr>
              <w:t>2</w:t>
            </w:r>
            <w:bookmarkEnd w:id="154"/>
            <w:r>
              <w:rPr>
                <w:rFonts w:hint="eastAsia"/>
                <w:lang w:val="en-US"/>
              </w:rPr>
              <w:t>分</w:t>
            </w:r>
            <w:r>
              <w:rPr>
                <w:lang w:val="en-US"/>
              </w:rPr>
              <w:t>未出现风速超标区域</w:t>
            </w:r>
          </w:p>
        </w:tc>
        <w:tc>
          <w:tcPr>
            <w:tcW w:w="1985" w:type="dxa"/>
            <w:shd w:val="clear" w:color="auto" w:fill="auto"/>
            <w:vAlign w:val="center"/>
          </w:tcPr>
          <w:p w14:paraId="56653475">
            <w:pPr>
              <w:jc w:val="center"/>
              <w:rPr>
                <w:lang w:val="en-US"/>
              </w:rPr>
            </w:pPr>
            <w:r>
              <w:rPr>
                <w:rFonts w:hint="eastAsia"/>
                <w:lang w:val="en-US"/>
              </w:rPr>
              <w:t>本项目</w:t>
            </w:r>
            <w:bookmarkStart w:id="155" w:name="冬季迎背风面结果"/>
            <w:r>
              <w:t>没有出现</w:t>
            </w:r>
            <w:bookmarkEnd w:id="155"/>
            <w:r>
              <w:rPr>
                <w:rFonts w:hint="eastAsia"/>
                <w:lang w:val="en-US"/>
              </w:rPr>
              <w:t>建筑迎风面与背风面表面风压差大于5Pa的建筑</w:t>
            </w:r>
          </w:p>
        </w:tc>
        <w:tc>
          <w:tcPr>
            <w:tcW w:w="1985" w:type="dxa"/>
            <w:shd w:val="clear" w:color="auto" w:fill="auto"/>
            <w:vAlign w:val="center"/>
          </w:tcPr>
          <w:p w14:paraId="778CC24D">
            <w:pPr>
              <w:jc w:val="center"/>
              <w:rPr>
                <w:lang w:val="en-US"/>
              </w:rPr>
            </w:pPr>
            <w:bookmarkStart w:id="156" w:name="冬季迎背风面达标判定"/>
            <w:r>
              <w:rPr>
                <w:rFonts w:hint="eastAsia"/>
                <w:b/>
                <w:lang w:val="en-US"/>
              </w:rPr>
              <w:t>达标</w:t>
            </w:r>
            <w:bookmarkEnd w:id="156"/>
          </w:p>
        </w:tc>
        <w:tc>
          <w:tcPr>
            <w:tcW w:w="1416" w:type="dxa"/>
            <w:shd w:val="clear" w:color="auto" w:fill="auto"/>
            <w:vAlign w:val="center"/>
          </w:tcPr>
          <w:p w14:paraId="397934FA">
            <w:pPr>
              <w:jc w:val="center"/>
              <w:rPr>
                <w:lang w:val="en-US"/>
              </w:rPr>
            </w:pPr>
            <w:bookmarkStart w:id="157" w:name="冬季迎背风面得分"/>
            <w:r>
              <w:rPr>
                <w:rFonts w:hint="eastAsia"/>
                <w:lang w:val="en-US"/>
              </w:rPr>
              <w:t>2</w:t>
            </w:r>
            <w:bookmarkEnd w:id="157"/>
            <w:r>
              <w:rPr>
                <w:rFonts w:hint="eastAsia"/>
                <w:lang w:val="en-US"/>
              </w:rPr>
              <w:t>分</w:t>
            </w:r>
          </w:p>
        </w:tc>
      </w:tr>
    </w:tbl>
    <w:p w14:paraId="22430C6B">
      <w:pPr>
        <w:rPr>
          <w:szCs w:val="21"/>
          <w:lang w:val="en-US"/>
        </w:rPr>
      </w:pPr>
      <w:bookmarkStart w:id="158" w:name="_Toc509844767"/>
      <w:bookmarkEnd w:id="158"/>
      <w:bookmarkStart w:id="159" w:name="_Toc509844768"/>
      <w:bookmarkEnd w:id="159"/>
    </w:p>
    <w:bookmarkEnd w:id="1"/>
    <w:p w14:paraId="365FA446">
      <w:pPr>
        <w:pStyle w:val="5"/>
      </w:pPr>
      <w:bookmarkStart w:id="160" w:name="_Toc509844769"/>
      <w:bookmarkStart w:id="161" w:name="_Toc15690"/>
      <w:r>
        <w:rPr>
          <w:rFonts w:hint="eastAsia"/>
        </w:rPr>
        <w:t>过渡季、夏季工况达标判断</w:t>
      </w:r>
      <w:bookmarkEnd w:id="160"/>
      <w:bookmarkEnd w:id="161"/>
    </w:p>
    <w:p w14:paraId="206D0E9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9E11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0DA23259">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27899EB">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5BB9DD3">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7E559C1">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DE2E793">
            <w:pPr>
              <w:jc w:val="center"/>
              <w:rPr>
                <w:lang w:val="en-US"/>
              </w:rPr>
            </w:pPr>
            <w:r>
              <w:rPr>
                <w:rFonts w:hint="eastAsia"/>
                <w:lang w:val="en-US"/>
              </w:rPr>
              <w:t>得分</w:t>
            </w:r>
          </w:p>
        </w:tc>
      </w:tr>
      <w:tr w14:paraId="0FD98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4C2BA467">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BE74F68">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2" w:name="标准要求夏季风速得分"/>
            <w:r>
              <w:rPr>
                <w:rFonts w:hint="eastAsia"/>
                <w:lang w:val="en-US"/>
              </w:rPr>
              <w:t>3</w:t>
            </w:r>
            <w:bookmarkEnd w:id="162"/>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6C46D8A7">
            <w:pPr>
              <w:jc w:val="center"/>
              <w:rPr>
                <w:lang w:val="en-US"/>
              </w:rPr>
            </w:pPr>
            <w:r>
              <w:rPr>
                <w:rFonts w:hint="eastAsia"/>
                <w:lang w:val="en-US"/>
              </w:rPr>
              <w:t>计算域</w:t>
            </w:r>
            <w:bookmarkStart w:id="163" w:name="夏季无风区结果计算域"/>
            <w:r>
              <w:rPr>
                <w:rFonts w:hint="eastAsia"/>
                <w:color w:val="FF0000"/>
                <w:lang w:val="en-US"/>
              </w:rPr>
              <w:t>有</w:t>
            </w:r>
            <w:bookmarkEnd w:id="163"/>
            <w:r>
              <w:rPr>
                <w:rFonts w:hint="eastAsia"/>
                <w:lang w:val="en-US"/>
              </w:rPr>
              <w:t>无风区</w:t>
            </w:r>
          </w:p>
        </w:tc>
        <w:tc>
          <w:tcPr>
            <w:tcW w:w="1985" w:type="dxa"/>
            <w:vMerge w:val="restart"/>
            <w:tcBorders>
              <w:top w:val="single" w:color="auto" w:sz="4" w:space="0"/>
            </w:tcBorders>
            <w:shd w:val="clear" w:color="auto" w:fill="auto"/>
            <w:vAlign w:val="center"/>
          </w:tcPr>
          <w:p w14:paraId="52AB6035">
            <w:pPr>
              <w:jc w:val="center"/>
              <w:rPr>
                <w:lang w:val="en-US"/>
              </w:rPr>
            </w:pPr>
            <w:bookmarkStart w:id="164" w:name="夏季无风区达标判定"/>
            <w:r>
              <w:rPr>
                <w:rFonts w:hint="eastAsia"/>
                <w:b/>
                <w:color w:val="FF0000"/>
                <w:lang w:val="en-US"/>
              </w:rPr>
              <w:t>不达标</w:t>
            </w:r>
            <w:bookmarkEnd w:id="164"/>
          </w:p>
        </w:tc>
        <w:tc>
          <w:tcPr>
            <w:tcW w:w="1416" w:type="dxa"/>
            <w:vMerge w:val="restart"/>
            <w:tcBorders>
              <w:top w:val="single" w:color="auto" w:sz="4" w:space="0"/>
            </w:tcBorders>
            <w:shd w:val="clear" w:color="auto" w:fill="auto"/>
            <w:vAlign w:val="center"/>
          </w:tcPr>
          <w:p w14:paraId="19447BC8">
            <w:pPr>
              <w:jc w:val="center"/>
              <w:rPr>
                <w:lang w:val="en-US"/>
              </w:rPr>
            </w:pPr>
            <w:bookmarkStart w:id="165" w:name="夏季无风区得分"/>
            <w:r>
              <w:rPr>
                <w:rFonts w:hint="eastAsia"/>
                <w:lang w:val="en-US"/>
              </w:rPr>
              <w:t>0</w:t>
            </w:r>
            <w:bookmarkEnd w:id="165"/>
            <w:r>
              <w:rPr>
                <w:rFonts w:hint="eastAsia"/>
                <w:lang w:val="en-US"/>
              </w:rPr>
              <w:t>分</w:t>
            </w:r>
          </w:p>
        </w:tc>
      </w:tr>
      <w:tr w14:paraId="60C68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853C7C7">
            <w:pPr>
              <w:jc w:val="center"/>
              <w:rPr>
                <w:lang w:val="en-US"/>
              </w:rPr>
            </w:pPr>
            <w:r>
              <w:rPr>
                <w:rFonts w:hint="eastAsia"/>
                <w:lang w:val="en-US"/>
              </w:rPr>
              <w:t>旋涡区</w:t>
            </w:r>
          </w:p>
        </w:tc>
        <w:tc>
          <w:tcPr>
            <w:tcW w:w="1985" w:type="dxa"/>
            <w:vMerge w:val="continue"/>
            <w:shd w:val="clear" w:color="auto" w:fill="auto"/>
          </w:tcPr>
          <w:p w14:paraId="1EAEAC78">
            <w:pPr>
              <w:jc w:val="center"/>
              <w:rPr>
                <w:lang w:val="en-US"/>
              </w:rPr>
            </w:pPr>
          </w:p>
        </w:tc>
        <w:tc>
          <w:tcPr>
            <w:tcW w:w="1985" w:type="dxa"/>
            <w:shd w:val="clear" w:color="auto" w:fill="auto"/>
            <w:vAlign w:val="center"/>
          </w:tcPr>
          <w:p w14:paraId="52A6BF3C">
            <w:pPr>
              <w:jc w:val="center"/>
              <w:rPr>
                <w:lang w:val="en-US"/>
              </w:rPr>
            </w:pPr>
            <w:r>
              <w:rPr>
                <w:rFonts w:hint="eastAsia"/>
                <w:lang w:val="en-US"/>
              </w:rPr>
              <w:t>计算域无旋涡区</w:t>
            </w:r>
          </w:p>
        </w:tc>
        <w:tc>
          <w:tcPr>
            <w:tcW w:w="1985" w:type="dxa"/>
            <w:vMerge w:val="continue"/>
            <w:shd w:val="clear" w:color="auto" w:fill="auto"/>
          </w:tcPr>
          <w:p w14:paraId="06BD3C48">
            <w:pPr>
              <w:jc w:val="center"/>
              <w:rPr>
                <w:lang w:val="en-US"/>
              </w:rPr>
            </w:pPr>
          </w:p>
        </w:tc>
        <w:tc>
          <w:tcPr>
            <w:tcW w:w="1416" w:type="dxa"/>
            <w:vMerge w:val="continue"/>
            <w:shd w:val="clear" w:color="auto" w:fill="auto"/>
          </w:tcPr>
          <w:p w14:paraId="70C60924">
            <w:pPr>
              <w:jc w:val="center"/>
              <w:rPr>
                <w:lang w:val="en-US"/>
              </w:rPr>
            </w:pPr>
          </w:p>
        </w:tc>
      </w:tr>
      <w:tr w14:paraId="47B2D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2D1C9BA">
            <w:pPr>
              <w:jc w:val="center"/>
              <w:rPr>
                <w:lang w:val="en-US"/>
              </w:rPr>
            </w:pPr>
            <w:r>
              <w:rPr>
                <w:rFonts w:hint="eastAsia"/>
                <w:lang w:val="en-US"/>
              </w:rPr>
              <w:t>外窗室内外表面的风压差</w:t>
            </w:r>
          </w:p>
        </w:tc>
        <w:tc>
          <w:tcPr>
            <w:tcW w:w="1985" w:type="dxa"/>
            <w:shd w:val="clear" w:color="auto" w:fill="auto"/>
          </w:tcPr>
          <w:p w14:paraId="520344D6">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66" w:name="标准要求夏季风压得分"/>
            <w:r>
              <w:rPr>
                <w:rFonts w:hint="eastAsia"/>
                <w:lang w:val="en-US"/>
              </w:rPr>
              <w:t>2</w:t>
            </w:r>
            <w:bookmarkEnd w:id="166"/>
            <w:r>
              <w:rPr>
                <w:rFonts w:hint="eastAsia"/>
                <w:lang w:val="en-US"/>
              </w:rPr>
              <w:t>分。</w:t>
            </w:r>
          </w:p>
        </w:tc>
        <w:tc>
          <w:tcPr>
            <w:tcW w:w="1985" w:type="dxa"/>
            <w:shd w:val="clear" w:color="auto" w:fill="auto"/>
            <w:vAlign w:val="center"/>
          </w:tcPr>
          <w:p w14:paraId="42E2069B">
            <w:pPr>
              <w:jc w:val="center"/>
              <w:rPr>
                <w:lang w:val="en-US"/>
              </w:rPr>
            </w:pPr>
            <w:r>
              <w:rPr>
                <w:rFonts w:hint="eastAsia"/>
                <w:b/>
                <w:lang w:val="en-US"/>
              </w:rPr>
              <w:t>可开启外窗室内外表面的风压差</w:t>
            </w:r>
            <w:bookmarkStart w:id="167" w:name="夏季窗内外风压差结果"/>
            <w:r>
              <w:rPr>
                <w:rFonts w:hint="eastAsia"/>
                <w:lang w:val="en-US"/>
              </w:rPr>
              <w:t>满足</w:t>
            </w:r>
            <w:bookmarkEnd w:id="167"/>
            <w:r>
              <w:rPr>
                <w:rFonts w:hint="eastAsia"/>
                <w:lang w:val="en-US"/>
              </w:rPr>
              <w:t>标准要求</w:t>
            </w:r>
          </w:p>
        </w:tc>
        <w:tc>
          <w:tcPr>
            <w:tcW w:w="1985" w:type="dxa"/>
            <w:shd w:val="clear" w:color="auto" w:fill="auto"/>
            <w:vAlign w:val="center"/>
          </w:tcPr>
          <w:p w14:paraId="11230004">
            <w:pPr>
              <w:jc w:val="center"/>
              <w:rPr>
                <w:b/>
                <w:lang w:val="en-US"/>
              </w:rPr>
            </w:pPr>
            <w:bookmarkStart w:id="168" w:name="夏季窗内外风压差达标判定"/>
            <w:r>
              <w:rPr>
                <w:rFonts w:hint="eastAsia"/>
                <w:b/>
                <w:lang w:val="en-US"/>
              </w:rPr>
              <w:t>达标</w:t>
            </w:r>
            <w:bookmarkEnd w:id="168"/>
          </w:p>
        </w:tc>
        <w:tc>
          <w:tcPr>
            <w:tcW w:w="1416" w:type="dxa"/>
            <w:shd w:val="clear" w:color="auto" w:fill="auto"/>
            <w:vAlign w:val="center"/>
          </w:tcPr>
          <w:p w14:paraId="5F282FD2">
            <w:pPr>
              <w:jc w:val="center"/>
              <w:rPr>
                <w:lang w:val="en-US"/>
              </w:rPr>
            </w:pPr>
            <w:bookmarkStart w:id="169" w:name="夏季窗内外风压差得分"/>
            <w:r>
              <w:rPr>
                <w:rFonts w:hint="eastAsia"/>
                <w:lang w:val="en-US"/>
              </w:rPr>
              <w:t>2</w:t>
            </w:r>
            <w:bookmarkEnd w:id="169"/>
            <w:r>
              <w:rPr>
                <w:rFonts w:hint="eastAsia"/>
                <w:lang w:val="en-US"/>
              </w:rPr>
              <w:t>分</w:t>
            </w:r>
          </w:p>
        </w:tc>
      </w:tr>
    </w:tbl>
    <w:p w14:paraId="75D0EA50">
      <w:pPr>
        <w:rPr>
          <w:szCs w:val="21"/>
          <w:lang w:val="en-US"/>
        </w:rPr>
      </w:pPr>
    </w:p>
    <w:p w14:paraId="47F1420E">
      <w:pPr>
        <w:pStyle w:val="3"/>
        <w:ind w:firstLine="0" w:firstLineChars="0"/>
        <w:rPr>
          <w:lang w:val="en-US"/>
        </w:rPr>
      </w:pPr>
      <w:r>
        <w:rPr>
          <w:rFonts w:hint="eastAsia"/>
          <w:lang w:val="en-US"/>
        </w:rPr>
        <w:t>综合上述达标判断详表的信息，可知本项目得分为</w:t>
      </w:r>
      <w:bookmarkStart w:id="170" w:name="总得分"/>
      <w:r>
        <w:rPr>
          <w:rFonts w:hint="eastAsia"/>
          <w:lang w:val="en-US"/>
        </w:rPr>
        <w:t>7</w:t>
      </w:r>
      <w:bookmarkEnd w:id="170"/>
      <w:r>
        <w:rPr>
          <w:rFonts w:hint="eastAsia"/>
          <w:lang w:val="en-US"/>
        </w:rPr>
        <w:t>分。</w:t>
      </w:r>
    </w:p>
    <w:p w14:paraId="43E484F9">
      <w:pPr>
        <w:pStyle w:val="4"/>
      </w:pPr>
      <w:bookmarkStart w:id="171" w:name="_Toc29438"/>
      <w:bookmarkStart w:id="172" w:name="附录"/>
      <w:r>
        <w:rPr>
          <w:rFonts w:hint="eastAsia"/>
        </w:rPr>
        <w:t>附录</w:t>
      </w:r>
      <w:bookmarkEnd w:id="171"/>
    </w:p>
    <w:p w14:paraId="761F59BA">
      <w:pPr>
        <w:pStyle w:val="5"/>
      </w:pPr>
      <w:bookmarkStart w:id="173" w:name="_Toc2903"/>
      <w:r>
        <w:rPr>
          <w:rFonts w:hint="eastAsia"/>
        </w:rPr>
        <w:t>参评建筑迎背风面窗平均风压差表</w:t>
      </w:r>
      <w:bookmarkEnd w:id="173"/>
    </w:p>
    <w:p w14:paraId="56A91D5F">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74" w:name="建筑迎背风面风压差表_建筑名"/>
      <w:r>
        <w:rPr>
          <w:rFonts w:ascii="Cambria" w:hAnsi="Cambria" w:eastAsia="黑体"/>
          <w:sz w:val="20"/>
        </w:rPr>
        <w:t>图书馆</w:t>
      </w:r>
      <w:bookmarkEnd w:id="174"/>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3AB29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EACEE57">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C4FC3F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33DD43C">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EBFA153">
            <w:pPr>
              <w:spacing w:line="360" w:lineRule="exact"/>
              <w:jc w:val="center"/>
              <w:rPr>
                <w:lang w:val="en-US"/>
              </w:rPr>
            </w:pPr>
            <w:r>
              <w:rPr>
                <w:rFonts w:hint="eastAsia"/>
                <w:lang w:val="en-US"/>
              </w:rPr>
              <w:t>迎背风面窗平均风压差</w:t>
            </w:r>
            <w:r>
              <w:rPr>
                <w:lang w:val="en-US"/>
              </w:rPr>
              <w:t>(Pa)</w:t>
            </w:r>
          </w:p>
        </w:tc>
      </w:tr>
      <w:tr w14:paraId="24CBFB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E75E87F">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C15FE0A">
            <w:pPr>
              <w:spacing w:line="360" w:lineRule="exact"/>
              <w:jc w:val="center"/>
              <w:rPr>
                <w:lang w:val="en-US"/>
              </w:rPr>
            </w:pPr>
            <w:r>
              <w:rPr>
                <w:lang w:val="en-US"/>
              </w:rPr>
              <w:t>0.35</w:t>
            </w:r>
          </w:p>
        </w:tc>
        <w:tc>
          <w:tcPr>
            <w:tcW w:w="2693" w:type="dxa"/>
            <w:tcBorders>
              <w:top w:val="single" w:color="auto" w:sz="4" w:space="0"/>
              <w:left w:val="single" w:color="auto" w:sz="4" w:space="0"/>
              <w:bottom w:val="single" w:color="auto" w:sz="4" w:space="0"/>
              <w:right w:val="single" w:color="auto" w:sz="4" w:space="0"/>
            </w:tcBorders>
            <w:vAlign w:val="center"/>
          </w:tcPr>
          <w:p w14:paraId="5EC49CE7">
            <w:pPr>
              <w:spacing w:line="360" w:lineRule="exact"/>
              <w:jc w:val="center"/>
              <w:rPr>
                <w:lang w:val="en-US"/>
              </w:rPr>
            </w:pPr>
            <w:r>
              <w:rPr>
                <w:lang w:val="en-US"/>
              </w:rPr>
              <w:t>-0.89</w:t>
            </w:r>
          </w:p>
        </w:tc>
        <w:tc>
          <w:tcPr>
            <w:tcW w:w="2693" w:type="dxa"/>
            <w:tcBorders>
              <w:top w:val="single" w:color="auto" w:sz="4" w:space="0"/>
              <w:left w:val="single" w:color="auto" w:sz="4" w:space="0"/>
              <w:bottom w:val="single" w:color="auto" w:sz="4" w:space="0"/>
              <w:right w:val="single" w:color="auto" w:sz="12" w:space="0"/>
            </w:tcBorders>
            <w:vAlign w:val="center"/>
          </w:tcPr>
          <w:p w14:paraId="32372135">
            <w:pPr>
              <w:spacing w:line="360" w:lineRule="exact"/>
              <w:jc w:val="center"/>
              <w:rPr>
                <w:lang w:val="en-US"/>
              </w:rPr>
            </w:pPr>
            <w:r>
              <w:rPr>
                <w:lang w:val="en-US"/>
              </w:rPr>
              <w:t>1.24</w:t>
            </w:r>
          </w:p>
        </w:tc>
      </w:tr>
      <w:tr w14:paraId="7CF6FA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A56A789">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B417727">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4" w:space="0"/>
            </w:tcBorders>
            <w:vAlign w:val="center"/>
          </w:tcPr>
          <w:p w14:paraId="1D13F59A">
            <w:pPr>
              <w:spacing w:line="360" w:lineRule="exact"/>
              <w:jc w:val="center"/>
              <w:rPr>
                <w:lang w:val="en-US"/>
              </w:rPr>
            </w:pPr>
            <w:r>
              <w:rPr>
                <w:lang w:val="en-US"/>
              </w:rPr>
              <w:t>-0.95</w:t>
            </w:r>
          </w:p>
        </w:tc>
        <w:tc>
          <w:tcPr>
            <w:tcW w:w="2693" w:type="dxa"/>
            <w:tcBorders>
              <w:top w:val="single" w:color="auto" w:sz="4" w:space="0"/>
              <w:left w:val="single" w:color="auto" w:sz="4" w:space="0"/>
              <w:bottom w:val="single" w:color="auto" w:sz="4" w:space="0"/>
              <w:right w:val="single" w:color="auto" w:sz="12" w:space="0"/>
            </w:tcBorders>
            <w:vAlign w:val="center"/>
          </w:tcPr>
          <w:p w14:paraId="27BD84A8">
            <w:pPr>
              <w:spacing w:line="360" w:lineRule="exact"/>
              <w:jc w:val="center"/>
              <w:rPr>
                <w:lang w:val="en-US"/>
              </w:rPr>
            </w:pPr>
            <w:r>
              <w:rPr>
                <w:lang w:val="en-US"/>
              </w:rPr>
              <w:t>1.13</w:t>
            </w:r>
          </w:p>
        </w:tc>
      </w:tr>
      <w:tr w14:paraId="25B762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07B4259">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2B77CFE">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4" w:space="0"/>
              <w:right w:val="single" w:color="auto" w:sz="4" w:space="0"/>
            </w:tcBorders>
            <w:vAlign w:val="center"/>
          </w:tcPr>
          <w:p w14:paraId="2E16B8CD">
            <w:pPr>
              <w:spacing w:line="360" w:lineRule="exact"/>
              <w:jc w:val="center"/>
              <w:rPr>
                <w:lang w:val="en-US"/>
              </w:rPr>
            </w:pPr>
            <w:r>
              <w:rPr>
                <w:lang w:val="en-US"/>
              </w:rPr>
              <w:t>-0.59</w:t>
            </w:r>
          </w:p>
        </w:tc>
        <w:tc>
          <w:tcPr>
            <w:tcW w:w="2693" w:type="dxa"/>
            <w:tcBorders>
              <w:top w:val="single" w:color="auto" w:sz="4" w:space="0"/>
              <w:left w:val="single" w:color="auto" w:sz="4" w:space="0"/>
              <w:bottom w:val="single" w:color="auto" w:sz="4" w:space="0"/>
              <w:right w:val="single" w:color="auto" w:sz="12" w:space="0"/>
            </w:tcBorders>
            <w:vAlign w:val="center"/>
          </w:tcPr>
          <w:p w14:paraId="27937955">
            <w:pPr>
              <w:spacing w:line="360" w:lineRule="exact"/>
              <w:jc w:val="center"/>
              <w:rPr>
                <w:lang w:val="en-US"/>
              </w:rPr>
            </w:pPr>
            <w:r>
              <w:rPr>
                <w:lang w:val="en-US"/>
              </w:rPr>
              <w:t>1.19</w:t>
            </w:r>
          </w:p>
        </w:tc>
      </w:tr>
      <w:tr w14:paraId="1E2B61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2ACE64E">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C4E5561">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4" w:space="0"/>
            </w:tcBorders>
            <w:vAlign w:val="center"/>
          </w:tcPr>
          <w:p w14:paraId="4550634A">
            <w:pPr>
              <w:spacing w:line="360" w:lineRule="exact"/>
              <w:jc w:val="center"/>
              <w:rPr>
                <w:lang w:val="en-US"/>
              </w:rPr>
            </w:pPr>
            <w:r>
              <w:rPr>
                <w:lang w:val="en-US"/>
              </w:rPr>
              <w:t>-0.93</w:t>
            </w:r>
          </w:p>
        </w:tc>
        <w:tc>
          <w:tcPr>
            <w:tcW w:w="2693" w:type="dxa"/>
            <w:tcBorders>
              <w:top w:val="single" w:color="auto" w:sz="4" w:space="0"/>
              <w:left w:val="single" w:color="auto" w:sz="4" w:space="0"/>
              <w:bottom w:val="single" w:color="auto" w:sz="4" w:space="0"/>
              <w:right w:val="single" w:color="auto" w:sz="12" w:space="0"/>
            </w:tcBorders>
            <w:vAlign w:val="center"/>
          </w:tcPr>
          <w:p w14:paraId="24F3BF87">
            <w:pPr>
              <w:spacing w:line="360" w:lineRule="exact"/>
              <w:jc w:val="center"/>
              <w:rPr>
                <w:lang w:val="en-US"/>
              </w:rPr>
            </w:pPr>
            <w:r>
              <w:rPr>
                <w:lang w:val="en-US"/>
              </w:rPr>
              <w:t>1.63</w:t>
            </w:r>
          </w:p>
        </w:tc>
      </w:tr>
      <w:tr w14:paraId="7282F6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2605AC1">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27A02F05">
            <w:pPr>
              <w:spacing w:line="360" w:lineRule="exact"/>
              <w:jc w:val="center"/>
              <w:rPr>
                <w:lang w:val="en-US"/>
              </w:rPr>
            </w:pPr>
            <w:r>
              <w:rPr>
                <w:lang w:val="en-US"/>
              </w:rPr>
              <w:t>1.26</w:t>
            </w:r>
          </w:p>
        </w:tc>
        <w:tc>
          <w:tcPr>
            <w:tcW w:w="2693" w:type="dxa"/>
            <w:tcBorders>
              <w:top w:val="single" w:color="auto" w:sz="4" w:space="0"/>
              <w:left w:val="single" w:color="auto" w:sz="4" w:space="0"/>
              <w:bottom w:val="single" w:color="auto" w:sz="4" w:space="0"/>
              <w:right w:val="single" w:color="auto" w:sz="4" w:space="0"/>
            </w:tcBorders>
            <w:vAlign w:val="center"/>
          </w:tcPr>
          <w:p w14:paraId="38407224">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4" w:space="0"/>
              <w:right w:val="single" w:color="auto" w:sz="12" w:space="0"/>
            </w:tcBorders>
            <w:vAlign w:val="center"/>
          </w:tcPr>
          <w:p w14:paraId="4BB0EE12">
            <w:pPr>
              <w:spacing w:line="360" w:lineRule="exact"/>
              <w:jc w:val="center"/>
              <w:rPr>
                <w:lang w:val="en-US"/>
              </w:rPr>
            </w:pPr>
            <w:r>
              <w:rPr>
                <w:lang w:val="en-US"/>
              </w:rPr>
              <w:t>2.27</w:t>
            </w:r>
          </w:p>
        </w:tc>
      </w:tr>
      <w:tr w14:paraId="6B71B0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36FFEE9">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3F87CDFC">
            <w:pPr>
              <w:spacing w:line="360" w:lineRule="exact"/>
              <w:jc w:val="center"/>
              <w:rPr>
                <w:lang w:val="en-US"/>
              </w:rPr>
            </w:pPr>
            <w:r>
              <w:rPr>
                <w:lang w:val="en-US"/>
              </w:rPr>
              <w:t>1.37</w:t>
            </w:r>
          </w:p>
        </w:tc>
        <w:tc>
          <w:tcPr>
            <w:tcW w:w="2693" w:type="dxa"/>
            <w:tcBorders>
              <w:top w:val="single" w:color="auto" w:sz="4" w:space="0"/>
              <w:left w:val="single" w:color="auto" w:sz="4" w:space="0"/>
              <w:bottom w:val="single" w:color="auto" w:sz="4" w:space="0"/>
              <w:right w:val="single" w:color="auto" w:sz="4" w:space="0"/>
            </w:tcBorders>
            <w:vAlign w:val="center"/>
          </w:tcPr>
          <w:p w14:paraId="6AB0BC14">
            <w:pPr>
              <w:spacing w:line="360" w:lineRule="exact"/>
              <w:jc w:val="center"/>
              <w:rPr>
                <w:lang w:val="en-US"/>
              </w:rPr>
            </w:pPr>
            <w:r>
              <w:rPr>
                <w:lang w:val="en-US"/>
              </w:rPr>
              <w:t>-0.97</w:t>
            </w:r>
          </w:p>
        </w:tc>
        <w:tc>
          <w:tcPr>
            <w:tcW w:w="2693" w:type="dxa"/>
            <w:tcBorders>
              <w:top w:val="single" w:color="auto" w:sz="4" w:space="0"/>
              <w:left w:val="single" w:color="auto" w:sz="4" w:space="0"/>
              <w:bottom w:val="single" w:color="auto" w:sz="4" w:space="0"/>
              <w:right w:val="single" w:color="auto" w:sz="12" w:space="0"/>
            </w:tcBorders>
            <w:vAlign w:val="center"/>
          </w:tcPr>
          <w:p w14:paraId="6599DC73">
            <w:pPr>
              <w:spacing w:line="360" w:lineRule="exact"/>
              <w:jc w:val="center"/>
              <w:rPr>
                <w:lang w:val="en-US"/>
              </w:rPr>
            </w:pPr>
            <w:r>
              <w:rPr>
                <w:lang w:val="en-US"/>
              </w:rPr>
              <w:t>2.34</w:t>
            </w:r>
          </w:p>
        </w:tc>
      </w:tr>
      <w:tr w14:paraId="0C3387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A0C4562">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14:paraId="6CBEDF99">
            <w:pPr>
              <w:spacing w:line="360" w:lineRule="exact"/>
              <w:jc w:val="center"/>
              <w:rPr>
                <w:lang w:val="en-US"/>
              </w:rPr>
            </w:pPr>
            <w:r>
              <w:rPr>
                <w:lang w:val="en-US"/>
              </w:rPr>
              <w:t>1.39</w:t>
            </w:r>
          </w:p>
        </w:tc>
        <w:tc>
          <w:tcPr>
            <w:tcW w:w="2693" w:type="dxa"/>
            <w:tcBorders>
              <w:top w:val="single" w:color="auto" w:sz="4" w:space="0"/>
              <w:left w:val="single" w:color="auto" w:sz="4" w:space="0"/>
              <w:bottom w:val="single" w:color="auto" w:sz="4" w:space="0"/>
              <w:right w:val="single" w:color="auto" w:sz="4" w:space="0"/>
            </w:tcBorders>
            <w:vAlign w:val="center"/>
          </w:tcPr>
          <w:p w14:paraId="323E1E35">
            <w:pPr>
              <w:spacing w:line="360" w:lineRule="exact"/>
              <w:jc w:val="center"/>
              <w:rPr>
                <w:lang w:val="en-US"/>
              </w:rPr>
            </w:pPr>
            <w:r>
              <w:rPr>
                <w:lang w:val="en-US"/>
              </w:rPr>
              <w:t>-1.08</w:t>
            </w:r>
          </w:p>
        </w:tc>
        <w:tc>
          <w:tcPr>
            <w:tcW w:w="2693" w:type="dxa"/>
            <w:tcBorders>
              <w:top w:val="single" w:color="auto" w:sz="4" w:space="0"/>
              <w:left w:val="single" w:color="auto" w:sz="4" w:space="0"/>
              <w:bottom w:val="single" w:color="auto" w:sz="4" w:space="0"/>
              <w:right w:val="single" w:color="auto" w:sz="12" w:space="0"/>
            </w:tcBorders>
            <w:vAlign w:val="center"/>
          </w:tcPr>
          <w:p w14:paraId="6AE2C4D4">
            <w:pPr>
              <w:spacing w:line="360" w:lineRule="exact"/>
              <w:jc w:val="center"/>
              <w:rPr>
                <w:lang w:val="en-US"/>
              </w:rPr>
            </w:pPr>
            <w:r>
              <w:rPr>
                <w:lang w:val="en-US"/>
              </w:rPr>
              <w:t>2.47</w:t>
            </w:r>
          </w:p>
        </w:tc>
      </w:tr>
      <w:tr w14:paraId="0669CE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618D369">
            <w:pPr>
              <w:spacing w:line="360" w:lineRule="exact"/>
              <w:jc w:val="center"/>
              <w:rPr>
                <w:lang w:val="en-US"/>
              </w:rPr>
            </w:pPr>
            <w:r>
              <w:rPr>
                <w:rFonts w:hint="eastAsia"/>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14:paraId="1BD6A45E">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4" w:space="0"/>
              <w:right w:val="single" w:color="auto" w:sz="4" w:space="0"/>
            </w:tcBorders>
            <w:vAlign w:val="center"/>
          </w:tcPr>
          <w:p w14:paraId="6AAD9FCE">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12" w:space="0"/>
            </w:tcBorders>
            <w:vAlign w:val="center"/>
          </w:tcPr>
          <w:p w14:paraId="55942CAE">
            <w:pPr>
              <w:spacing w:line="360" w:lineRule="exact"/>
              <w:jc w:val="center"/>
              <w:rPr>
                <w:lang w:val="en-US"/>
              </w:rPr>
            </w:pPr>
            <w:r>
              <w:rPr>
                <w:lang w:val="en-US"/>
              </w:rPr>
              <w:t>0.75</w:t>
            </w:r>
          </w:p>
        </w:tc>
      </w:tr>
      <w:tr w14:paraId="3B05BC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4C0AD0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96A72CF">
            <w:pPr>
              <w:spacing w:line="360" w:lineRule="exact"/>
              <w:jc w:val="center"/>
              <w:rPr>
                <w:lang w:val="en-US"/>
              </w:rPr>
            </w:pPr>
            <w:r>
              <w:rPr>
                <w:lang w:val="en-US"/>
              </w:rPr>
              <w:t>1.08</w:t>
            </w:r>
          </w:p>
        </w:tc>
        <w:tc>
          <w:tcPr>
            <w:tcW w:w="2693" w:type="dxa"/>
            <w:tcBorders>
              <w:top w:val="single" w:color="auto" w:sz="4" w:space="0"/>
              <w:left w:val="single" w:color="auto" w:sz="4" w:space="0"/>
              <w:bottom w:val="single" w:color="auto" w:sz="12" w:space="0"/>
              <w:right w:val="single" w:color="auto" w:sz="4" w:space="0"/>
            </w:tcBorders>
            <w:vAlign w:val="center"/>
          </w:tcPr>
          <w:p w14:paraId="5047165D">
            <w:pPr>
              <w:spacing w:line="360" w:lineRule="exact"/>
              <w:jc w:val="center"/>
              <w:rPr>
                <w:lang w:val="en-US"/>
              </w:rPr>
            </w:pPr>
            <w:r>
              <w:rPr>
                <w:lang w:val="en-US"/>
              </w:rPr>
              <w:t>-0.68</w:t>
            </w:r>
          </w:p>
        </w:tc>
        <w:tc>
          <w:tcPr>
            <w:tcW w:w="2693" w:type="dxa"/>
            <w:tcBorders>
              <w:top w:val="single" w:color="auto" w:sz="4" w:space="0"/>
              <w:left w:val="single" w:color="auto" w:sz="4" w:space="0"/>
              <w:bottom w:val="single" w:color="auto" w:sz="12" w:space="0"/>
              <w:right w:val="single" w:color="auto" w:sz="12" w:space="0"/>
            </w:tcBorders>
            <w:vAlign w:val="center"/>
          </w:tcPr>
          <w:p w14:paraId="3258F5A2">
            <w:pPr>
              <w:spacing w:line="360" w:lineRule="exact"/>
              <w:jc w:val="center"/>
              <w:rPr>
                <w:lang w:val="en-US"/>
              </w:rPr>
            </w:pPr>
            <w:r>
              <w:rPr>
                <w:lang w:val="en-US"/>
              </w:rPr>
              <w:t>1.76</w:t>
            </w:r>
          </w:p>
        </w:tc>
      </w:tr>
      <w:bookmarkEnd w:id="0"/>
    </w:tbl>
    <w:p w14:paraId="7B9E9F70">
      <w:bookmarkStart w:id="175" w:name="结论"/>
      <w:bookmarkEnd w:id="175"/>
    </w:p>
    <w:p w14:paraId="2424EB09">
      <w:pPr>
        <w:pStyle w:val="3"/>
        <w:ind w:firstLine="420"/>
        <w:rPr>
          <w:lang w:val="en-US"/>
        </w:rPr>
      </w:pPr>
      <w:bookmarkStart w:id="176" w:name="迎风建筑信息参评"/>
      <w:bookmarkEnd w:id="176"/>
    </w:p>
    <w:p w14:paraId="18DDD9E2">
      <w:pPr>
        <w:pStyle w:val="5"/>
      </w:pPr>
      <w:bookmarkStart w:id="177" w:name="_Toc26782"/>
      <w:r>
        <w:rPr>
          <w:rFonts w:hint="eastAsia"/>
        </w:rPr>
        <w:t>不参评建筑迎背风面窗平均风压差表</w:t>
      </w:r>
      <w:bookmarkEnd w:id="177"/>
    </w:p>
    <w:p w14:paraId="3BB9C20C">
      <w:pPr>
        <w:pStyle w:val="3"/>
        <w:ind w:firstLine="420"/>
        <w:rPr>
          <w:lang w:val="en-US"/>
        </w:rPr>
      </w:pPr>
      <w:bookmarkStart w:id="178" w:name="迎风建筑信息不参评"/>
      <w:bookmarkEnd w:id="178"/>
    </w:p>
    <w:bookmarkEnd w:id="172"/>
    <w:p w14:paraId="242E8BE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3B60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C00F31B">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B6A2C23">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BE2EEE0">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AD2DF6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F89ED">
    <w:pPr>
      <w:pStyle w:val="17"/>
      <w:jc w:val="center"/>
      <w:rPr>
        <w:rFonts w:asciiTheme="minorEastAsia" w:hAnsiTheme="minorEastAsia" w:eastAsiaTheme="minorEastAsia"/>
        <w:szCs w:val="21"/>
      </w:rPr>
    </w:pPr>
  </w:p>
  <w:p w14:paraId="330E3CB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A1364">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E112FB"/>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39E11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tmp1.dotx</Template>
  <Pages>23</Pages>
  <Words>6030</Words>
  <Characters>6907</Characters>
  <Lines>42</Lines>
  <Paragraphs>11</Paragraphs>
  <TotalTime>0</TotalTime>
  <ScaleCrop>false</ScaleCrop>
  <LinksUpToDate>false</LinksUpToDate>
  <CharactersWithSpaces>11843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2024-12-16T15:04:00Z</dcterms:created>
  <dc:creator>LSZX</dc:creator>
  <cp:lastModifiedBy>LSZX</cp:lastModifiedBy>
  <dcterms:modified xsi:type="dcterms:W3CDTF">2024-12-16T15:05:00Z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2E5DAE6289C7499FA07191BD7478DE70_11</vt:lpwstr>
  </property>
  <property fmtid="{D5CDD505-2E9C-101B-9397-08002B2CF9AE}" pid="3" name="KSOProductBuildVer">
    <vt:lpwstr>2052-12.1.0.19302</vt:lpwstr>
  </property>
</Properties>
</file>