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E7EC8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52" w:name="_GoBack"/>
      <w:bookmarkEnd w:id="52"/>
    </w:p>
    <w:p w14:paraId="1770AC51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9055E1D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  <w:lang w:val="en-US"/>
        </w:rPr>
        <w:t>降低热岛强度措施计算</w:t>
      </w:r>
      <w:r>
        <w:rPr>
          <w:rFonts w:hint="eastAsia" w:ascii="黑体" w:hAnsi="宋体" w:eastAsia="黑体"/>
          <w:b/>
          <w:bCs/>
          <w:sz w:val="72"/>
          <w:szCs w:val="72"/>
        </w:rPr>
        <w:t>书</w:t>
      </w:r>
    </w:p>
    <w:p w14:paraId="158C71CD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A4BA2C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A226745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tblInd w:w="19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79EC5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1C4D12E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6BD247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 w14:paraId="217A9A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F186E3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478DEAF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hint="eastAsia" w:ascii="宋体" w:hAnsi="宋体"/>
                <w:szCs w:val="21"/>
              </w:rPr>
              <w:t>广州</w:t>
            </w:r>
            <w:bookmarkEnd w:id="1"/>
          </w:p>
        </w:tc>
      </w:tr>
      <w:tr w14:paraId="5BADAB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BC737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FA915AC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5D219F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F140E2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B725C91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2670A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10001F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B3603CB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6F2C05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CC55FF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2125ED8">
            <w:pPr>
              <w:rPr>
                <w:rFonts w:ascii="宋体" w:hAnsi="宋体"/>
                <w:szCs w:val="21"/>
              </w:rPr>
            </w:pPr>
          </w:p>
        </w:tc>
      </w:tr>
      <w:tr w14:paraId="73E82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AAEA53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B8E830D">
            <w:pPr>
              <w:rPr>
                <w:rFonts w:ascii="宋体" w:hAnsi="宋体"/>
                <w:szCs w:val="21"/>
              </w:rPr>
            </w:pPr>
          </w:p>
        </w:tc>
      </w:tr>
      <w:tr w14:paraId="08536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87F0D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8081CAA">
            <w:pPr>
              <w:rPr>
                <w:rFonts w:ascii="宋体" w:hAnsi="宋体"/>
                <w:szCs w:val="21"/>
              </w:rPr>
            </w:pPr>
          </w:p>
        </w:tc>
      </w:tr>
      <w:tr w14:paraId="5727D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D84663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E808567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2024年12月19日</w:t>
            </w:r>
            <w:bookmarkEnd w:id="5"/>
          </w:p>
        </w:tc>
      </w:tr>
    </w:tbl>
    <w:p w14:paraId="61604178">
      <w:pPr>
        <w:rPr>
          <w:rFonts w:ascii="宋体" w:hAnsi="宋体"/>
          <w:lang w:val="en-US"/>
        </w:rPr>
      </w:pPr>
    </w:p>
    <w:p w14:paraId="50212D70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B4E18">
      <w:pPr>
        <w:rPr>
          <w:rFonts w:ascii="宋体" w:hAnsi="宋体"/>
          <w:lang w:val="en-US"/>
        </w:rPr>
      </w:pPr>
    </w:p>
    <w:p w14:paraId="3B14438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1C07A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2A0F7BAE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3DC3BBFE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住区热环境TERA2024</w:t>
            </w:r>
            <w:bookmarkEnd w:id="7"/>
          </w:p>
        </w:tc>
      </w:tr>
      <w:tr w14:paraId="339A1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70DF55C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3B958892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20240430(SP1)</w:t>
            </w:r>
            <w:bookmarkEnd w:id="8"/>
          </w:p>
        </w:tc>
      </w:tr>
      <w:tr w14:paraId="7FAA3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19ED2671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1B082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1F079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4CE033B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65EFB574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T18954884736</w:t>
            </w:r>
            <w:bookmarkEnd w:id="9"/>
          </w:p>
        </w:tc>
      </w:tr>
    </w:tbl>
    <w:p w14:paraId="1556CE7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15DB4153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3363DE3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8B76994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A3A00B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_Toc5258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_Toc5258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AF51E8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_Toc22073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_Toc22073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644943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_Toc3125 </w:instrText>
      </w:r>
      <w:r>
        <w:fldChar w:fldCharType="separate"/>
      </w:r>
      <w:r>
        <w:rPr>
          <w:rFonts w:hint="eastAsia"/>
        </w:rPr>
        <w:t>3 指标详情</w:t>
      </w:r>
      <w:r>
        <w:tab/>
      </w:r>
      <w:r>
        <w:fldChar w:fldCharType="begin"/>
      </w:r>
      <w:r>
        <w:instrText xml:space="preserve"> PAGEREF _Toc3125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7CD44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_Toc13786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_Toc13786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EB5F0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_Toc24590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_Toc24590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09ADEC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_Toc3642 </w:instrText>
      </w:r>
      <w:r>
        <w:fldChar w:fldCharType="separate"/>
      </w:r>
      <w:r>
        <w:rPr>
          <w:rFonts w:hint="eastAsia"/>
        </w:rPr>
        <w:t>4 指标概览</w:t>
      </w:r>
      <w:r>
        <w:tab/>
      </w:r>
      <w:r>
        <w:fldChar w:fldCharType="begin"/>
      </w:r>
      <w:r>
        <w:instrText xml:space="preserve"> PAGEREF _Toc3642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FF249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_Toc22224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_Toc22224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BBBFD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_Toc14194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_Toc14194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937916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_Toc2893 </w:instrText>
      </w:r>
      <w:r>
        <w:fldChar w:fldCharType="separate"/>
      </w:r>
      <w:r>
        <w:rPr>
          <w:rFonts w:hint="eastAsia"/>
        </w:rPr>
        <w:t>5 计算结果</w:t>
      </w:r>
      <w:r>
        <w:tab/>
      </w:r>
      <w:r>
        <w:fldChar w:fldCharType="begin"/>
      </w:r>
      <w:r>
        <w:instrText xml:space="preserve"> PAGEREF _Toc2893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C4235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_Toc32677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活动场地遮阴率</w:t>
      </w:r>
      <w:r>
        <w:tab/>
      </w:r>
      <w:r>
        <w:fldChar w:fldCharType="begin"/>
      </w:r>
      <w:r>
        <w:instrText xml:space="preserve"> PAGEREF _Toc32677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6EEBB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_Toc8020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车道热环境</w:t>
      </w:r>
      <w:r>
        <w:t>指标</w:t>
      </w:r>
      <w:r>
        <w:tab/>
      </w:r>
      <w:r>
        <w:fldChar w:fldCharType="begin"/>
      </w:r>
      <w:r>
        <w:instrText xml:space="preserve"> PAGEREF _Toc8020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C0A56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_Toc9427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屋顶热环境</w:t>
      </w:r>
      <w:r>
        <w:t>指标</w:t>
      </w:r>
      <w:r>
        <w:tab/>
      </w:r>
      <w:r>
        <w:fldChar w:fldCharType="begin"/>
      </w:r>
      <w:r>
        <w:instrText xml:space="preserve"> PAGEREF _Toc9427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67EB8F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_Toc5797 </w:instrText>
      </w:r>
      <w:r>
        <w:fldChar w:fldCharType="separate"/>
      </w:r>
      <w:r>
        <w:rPr>
          <w:rFonts w:hint="eastAsia"/>
        </w:rPr>
        <w:t>6 评价结论</w:t>
      </w:r>
      <w:r>
        <w:tab/>
      </w:r>
      <w:r>
        <w:fldChar w:fldCharType="begin"/>
      </w:r>
      <w:r>
        <w:instrText xml:space="preserve"> PAGEREF _Toc5797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5C78701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14:paraId="3623B805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32D6D19B">
      <w:pPr>
        <w:pStyle w:val="2"/>
      </w:pPr>
      <w:bookmarkStart w:id="11" w:name="_Toc401318136"/>
      <w:bookmarkStart w:id="12" w:name="_Toc5258"/>
      <w:r>
        <w:rPr>
          <w:rFonts w:hint="eastAsia"/>
        </w:rPr>
        <w:t>住区概况</w:t>
      </w:r>
      <w:bookmarkEnd w:id="11"/>
      <w:bookmarkEnd w:id="12"/>
    </w:p>
    <w:tbl>
      <w:tblPr>
        <w:tblStyle w:val="18"/>
        <w:tblW w:w="9072" w:type="dxa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56F9F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 w14:paraId="2540469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6C066D6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1"/>
            <w:bookmarkEnd w:id="13"/>
          </w:p>
        </w:tc>
      </w:tr>
      <w:tr w14:paraId="27690B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1CF8A9B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50F46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hint="eastAsia" w:ascii="宋体" w:hAnsi="宋体"/>
                <w:lang w:val="en-US"/>
              </w:rPr>
              <w:t>广州</w:t>
            </w:r>
            <w:bookmarkEnd w:id="14"/>
          </w:p>
        </w:tc>
      </w:tr>
      <w:tr w14:paraId="5A9347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703E090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210FB6A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类型"/>
            <w:r>
              <w:t>公共建筑</w:t>
            </w:r>
            <w:bookmarkEnd w:id="15"/>
          </w:p>
        </w:tc>
      </w:tr>
      <w:tr w14:paraId="4A3E20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E4F2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7E552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23.13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1948887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113.23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 w14:paraId="12229536">
      <w:pPr>
        <w:pStyle w:val="3"/>
        <w:ind w:firstLine="420"/>
        <w:rPr>
          <w:lang w:val="en-US"/>
        </w:rPr>
      </w:pPr>
    </w:p>
    <w:p w14:paraId="5CE400F5"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6576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2C8BE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 w14:paraId="4514CFAC">
      <w:pPr>
        <w:pStyle w:val="3"/>
        <w:ind w:firstLine="420"/>
        <w:rPr>
          <w:lang w:val="en-US"/>
        </w:rPr>
      </w:pPr>
    </w:p>
    <w:p w14:paraId="30C652E3">
      <w:pPr>
        <w:pStyle w:val="3"/>
        <w:ind w:firstLine="420"/>
        <w:jc w:val="center"/>
        <w:rPr>
          <w:lang w:val="en-US"/>
        </w:rPr>
      </w:pPr>
      <w:bookmarkStart w:id="19" w:name="总图平面图"/>
      <w:bookmarkEnd w:id="19"/>
      <w:r>
        <w:drawing>
          <wp:inline distT="0" distB="0" distL="0" distR="0">
            <wp:extent cx="5667375" cy="36576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9D956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64A3D2B3">
      <w:pPr>
        <w:pStyle w:val="2"/>
      </w:pPr>
      <w:bookmarkStart w:id="20" w:name="_Toc22073"/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20"/>
      <w:bookmarkEnd w:id="21"/>
    </w:p>
    <w:p w14:paraId="1019498D"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1.《绿色建筑评价标准》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50378-2019</w:t>
      </w:r>
    </w:p>
    <w:p w14:paraId="3A8D377A">
      <w:pPr>
        <w:pStyle w:val="3"/>
        <w:ind w:left="840" w:hanging="420" w:firstLineChars="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》2019</w:t>
      </w:r>
    </w:p>
    <w:p w14:paraId="71508E91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 w14:paraId="1B171303">
      <w:pPr>
        <w:pStyle w:val="2"/>
      </w:pPr>
      <w:bookmarkStart w:id="22" w:name="_Toc3125"/>
      <w:r>
        <w:rPr>
          <w:rFonts w:hint="eastAsia"/>
        </w:rPr>
        <w:t>指标详情</w:t>
      </w:r>
      <w:bookmarkEnd w:id="22"/>
    </w:p>
    <w:p w14:paraId="2838909D">
      <w:pPr>
        <w:pStyle w:val="4"/>
      </w:pPr>
      <w:bookmarkStart w:id="23" w:name="_Toc13786"/>
      <w:r>
        <w:rPr>
          <w:rFonts w:hint="eastAsia"/>
        </w:rPr>
        <w:t>规范要求</w:t>
      </w:r>
      <w:bookmarkEnd w:id="23"/>
    </w:p>
    <w:p w14:paraId="5FD1E13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中有关降低热岛措施具体要求如下：</w:t>
      </w:r>
    </w:p>
    <w:p w14:paraId="07298F75"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采取措施降低热岛强度，评价总分值为1</w:t>
      </w:r>
      <w:r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 w14:paraId="4E18E8F4"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1308F18A"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49322C9A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3019E97C">
      <w:pPr>
        <w:pStyle w:val="3"/>
        <w:ind w:firstLine="420"/>
        <w:rPr>
          <w:lang w:val="en-US"/>
        </w:rPr>
      </w:pPr>
    </w:p>
    <w:p w14:paraId="5CC7766D">
      <w:pPr>
        <w:pStyle w:val="4"/>
      </w:pPr>
      <w:bookmarkStart w:id="24" w:name="_Toc24590"/>
      <w:r>
        <w:rPr>
          <w:rFonts w:hint="eastAsia"/>
        </w:rPr>
        <w:t>计算方法</w:t>
      </w:r>
      <w:bookmarkEnd w:id="24"/>
    </w:p>
    <w:p w14:paraId="2A3F6A2A"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 w14:paraId="4302792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14329A98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77A8306F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169D6C5F"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001CFF7B"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 w14:paraId="6FC06CC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6284189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4797A55F"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684B136A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5C4E8021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066AACE5">
      <w:pPr>
        <w:pStyle w:val="2"/>
      </w:pPr>
      <w:bookmarkStart w:id="25" w:name="_Toc401318141"/>
      <w:bookmarkStart w:id="26" w:name="_Toc3642"/>
      <w:r>
        <w:rPr>
          <w:rFonts w:hint="eastAsia"/>
        </w:rPr>
        <w:t>指标概览</w:t>
      </w:r>
      <w:bookmarkEnd w:id="25"/>
      <w:bookmarkEnd w:id="26"/>
    </w:p>
    <w:p w14:paraId="21612072">
      <w:pPr>
        <w:pStyle w:val="4"/>
      </w:pPr>
      <w:bookmarkStart w:id="27" w:name="_Toc22224"/>
      <w:r>
        <w:rPr>
          <w:rFonts w:hint="eastAsia"/>
        </w:rPr>
        <w:t>建筑列表</w:t>
      </w:r>
      <w:bookmarkEnd w:id="2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07"/>
        <w:gridCol w:w="3107"/>
      </w:tblGrid>
      <w:tr w14:paraId="77871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C7E6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54AE65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033DC7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建筑高度(m)</w:t>
            </w:r>
          </w:p>
        </w:tc>
      </w:tr>
      <w:tr w14:paraId="1B857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09C0AC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58E1D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5103.3</w:t>
            </w:r>
          </w:p>
        </w:tc>
        <w:tc>
          <w:tcPr>
            <w:vAlign w:val="center"/>
          </w:tcPr>
          <w:p w14:paraId="507D64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48.0</w:t>
            </w:r>
          </w:p>
        </w:tc>
      </w:tr>
      <w:tr w14:paraId="1AD73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A699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7822D8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2638.1</w:t>
            </w:r>
          </w:p>
        </w:tc>
        <w:tc>
          <w:tcPr>
            <w:vAlign w:val="center"/>
          </w:tcPr>
          <w:p w14:paraId="60AB9D3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102.0</w:t>
            </w:r>
          </w:p>
        </w:tc>
      </w:tr>
      <w:tr w14:paraId="3FC36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9C4C4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0E3CFE8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1515.6</w:t>
            </w:r>
          </w:p>
        </w:tc>
        <w:tc>
          <w:tcPr>
            <w:vAlign w:val="center"/>
          </w:tcPr>
          <w:p w14:paraId="4A1CC1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9.0</w:t>
            </w:r>
          </w:p>
        </w:tc>
      </w:tr>
      <w:tr w14:paraId="622AA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C10E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35CE42A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4213.8</w:t>
            </w:r>
          </w:p>
        </w:tc>
        <w:tc>
          <w:tcPr>
            <w:vAlign w:val="center"/>
          </w:tcPr>
          <w:p w14:paraId="2BBD353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</w:t>
            </w:r>
          </w:p>
        </w:tc>
      </w:tr>
      <w:tr w14:paraId="73972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C998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 w14:paraId="04E720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1624.8</w:t>
            </w:r>
          </w:p>
        </w:tc>
        <w:tc>
          <w:tcPr>
            <w:vAlign w:val="center"/>
          </w:tcPr>
          <w:p w14:paraId="46CFFF9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21.0</w:t>
            </w:r>
          </w:p>
        </w:tc>
      </w:tr>
      <w:tr w14:paraId="08D57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B707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09D138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6477.5</w:t>
            </w:r>
          </w:p>
        </w:tc>
        <w:tc>
          <w:tcPr>
            <w:vAlign w:val="center"/>
          </w:tcPr>
          <w:p w14:paraId="2CD9F8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</w:t>
            </w:r>
          </w:p>
        </w:tc>
      </w:tr>
      <w:tr w14:paraId="21F00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7BCE3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 w14:paraId="15ED12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11674.2</w:t>
            </w:r>
          </w:p>
        </w:tc>
        <w:tc>
          <w:tcPr>
            <w:vAlign w:val="center"/>
          </w:tcPr>
          <w:p w14:paraId="56003B0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21.0</w:t>
            </w:r>
          </w:p>
        </w:tc>
      </w:tr>
    </w:tbl>
    <w:p w14:paraId="27A82C5D">
      <w:pPr>
        <w:pStyle w:val="3"/>
        <w:ind w:firstLine="420"/>
        <w:rPr>
          <w:lang w:val="en-US"/>
        </w:rPr>
      </w:pPr>
      <w:bookmarkStart w:id="28" w:name="建筑列表"/>
      <w:bookmarkEnd w:id="28"/>
    </w:p>
    <w:p w14:paraId="78F500CE">
      <w:pPr>
        <w:pStyle w:val="4"/>
      </w:pPr>
      <w:bookmarkStart w:id="29" w:name="_Toc14194"/>
      <w:r>
        <w:rPr>
          <w:rFonts w:hint="eastAsia"/>
        </w:rPr>
        <w:t>各类面积指标</w:t>
      </w:r>
      <w:bookmarkEnd w:id="29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4239"/>
      </w:tblGrid>
      <w:tr w14:paraId="52EFA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5477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71AC1E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</w:tr>
      <w:tr w14:paraId="0E080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F3D9D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地块(红线)面积(㎡)</w:t>
            </w:r>
          </w:p>
        </w:tc>
        <w:tc>
          <w:tcPr>
            <w:vAlign w:val="center"/>
          </w:tcPr>
          <w:p w14:paraId="7D2180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178648</w:t>
            </w:r>
          </w:p>
        </w:tc>
      </w:tr>
      <w:tr w14:paraId="629F2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3422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建筑密度</w:t>
            </w:r>
          </w:p>
        </w:tc>
        <w:tc>
          <w:tcPr>
            <w:vAlign w:val="center"/>
          </w:tcPr>
          <w:p w14:paraId="4E4A237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</w:t>
            </w:r>
          </w:p>
        </w:tc>
      </w:tr>
      <w:tr w14:paraId="46B4E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7B60A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室外面积(㎡)</w:t>
            </w:r>
          </w:p>
        </w:tc>
        <w:tc>
          <w:tcPr>
            <w:vAlign w:val="center"/>
          </w:tcPr>
          <w:p w14:paraId="1F412F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146405</w:t>
            </w:r>
          </w:p>
        </w:tc>
      </w:tr>
      <w:tr w14:paraId="17EA4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D02B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活动场地总面积(㎡)</w:t>
            </w:r>
          </w:p>
        </w:tc>
        <w:tc>
          <w:tcPr>
            <w:vAlign w:val="center"/>
          </w:tcPr>
          <w:p w14:paraId="19FEB7F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46948</w:t>
            </w:r>
          </w:p>
        </w:tc>
      </w:tr>
      <w:tr w14:paraId="6F85C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05D1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乔木总投影面积(㎡)</w:t>
            </w:r>
          </w:p>
        </w:tc>
        <w:tc>
          <w:tcPr>
            <w:vAlign w:val="center"/>
          </w:tcPr>
          <w:p w14:paraId="3EF085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22598</w:t>
            </w:r>
          </w:p>
        </w:tc>
      </w:tr>
      <w:tr w14:paraId="32C96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5EA4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爬藤总投影面积(㎡)</w:t>
            </w:r>
          </w:p>
        </w:tc>
        <w:tc>
          <w:tcPr>
            <w:vAlign w:val="center"/>
          </w:tcPr>
          <w:p w14:paraId="0E85558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6140</w:t>
            </w:r>
          </w:p>
        </w:tc>
      </w:tr>
      <w:tr w14:paraId="28465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0EFE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亭廊总投影面积(㎡)</w:t>
            </w:r>
          </w:p>
        </w:tc>
        <w:tc>
          <w:tcPr>
            <w:vAlign w:val="center"/>
          </w:tcPr>
          <w:p w14:paraId="22E6E1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9848</w:t>
            </w:r>
          </w:p>
        </w:tc>
      </w:tr>
    </w:tbl>
    <w:p w14:paraId="190FF95F">
      <w:pPr>
        <w:pStyle w:val="3"/>
        <w:ind w:firstLine="420"/>
        <w:rPr>
          <w:lang w:val="en-US"/>
        </w:rPr>
      </w:pPr>
      <w:bookmarkStart w:id="30" w:name="面积指标"/>
      <w:bookmarkEnd w:id="30"/>
    </w:p>
    <w:p w14:paraId="65FAFF61">
      <w:pPr>
        <w:pStyle w:val="2"/>
      </w:pPr>
      <w:bookmarkStart w:id="31" w:name="_Toc2893"/>
      <w:r>
        <w:rPr>
          <w:rFonts w:hint="eastAsia"/>
        </w:rPr>
        <w:t>计算结果</w:t>
      </w:r>
      <w:bookmarkEnd w:id="31"/>
    </w:p>
    <w:p w14:paraId="3C2A9E07">
      <w:pPr>
        <w:pStyle w:val="4"/>
      </w:pPr>
      <w:bookmarkStart w:id="32" w:name="_Toc32677"/>
      <w:r>
        <w:rPr>
          <w:rFonts w:hint="eastAsia"/>
        </w:rPr>
        <w:t>活动场地遮阴率</w:t>
      </w:r>
      <w:bookmarkEnd w:id="32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5"/>
        <w:gridCol w:w="1165"/>
        <w:gridCol w:w="1165"/>
        <w:gridCol w:w="1165"/>
        <w:gridCol w:w="1165"/>
        <w:gridCol w:w="1165"/>
        <w:gridCol w:w="1165"/>
      </w:tblGrid>
      <w:tr w14:paraId="60E12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5C421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活动场地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FBD8C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绿化遮阴(㎡)</w:t>
            </w:r>
          </w:p>
        </w:tc>
        <w:tc>
          <w:tcPr>
            <w:shd w:val="clear" w:color="auto" w:fill="E6E6E6"/>
            <w:vAlign w:val="center"/>
          </w:tcPr>
          <w:p w14:paraId="237AE2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构筑物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遮阴(㎡)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2F946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日影面积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9521E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阴影区外总遮阴面积(㎡)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81E9B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阴影区外场地面积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36F30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遮阴率(%)</w:t>
            </w:r>
          </w:p>
        </w:tc>
      </w:tr>
      <w:tr w14:paraId="34B8F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2C9264C">
            <w:pPr>
              <w:rPr>
                <w:sz w:val="21"/>
                <w:szCs w:val="21"/>
              </w:rPr>
            </w:pPr>
          </w:p>
        </w:tc>
        <w:tc>
          <w:tcPr>
            <w:shd w:val="clear" w:color="auto" w:fill="E6E6E6"/>
            <w:vAlign w:val="center"/>
          </w:tcPr>
          <w:p w14:paraId="2EB30E3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乔木面积</w:t>
            </w:r>
          </w:p>
        </w:tc>
        <w:tc>
          <w:tcPr>
            <w:shd w:val="clear" w:color="auto" w:fill="E6E6E6"/>
            <w:vAlign w:val="center"/>
          </w:tcPr>
          <w:p w14:paraId="18FEC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爬藤面积</w:t>
            </w:r>
          </w:p>
        </w:tc>
        <w:tc>
          <w:tcPr>
            <w:shd w:val="clear" w:color="auto" w:fill="E6E6E6"/>
            <w:vAlign w:val="center"/>
          </w:tcPr>
          <w:p w14:paraId="7D1461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亭廊面积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140C68D">
            <w:pPr>
              <w:rPr>
                <w:sz w:val="21"/>
                <w:szCs w:val="21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31A7F229">
            <w:pPr>
              <w:rPr>
                <w:sz w:val="21"/>
                <w:szCs w:val="21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1821C141">
            <w:pPr>
              <w:rPr>
                <w:sz w:val="21"/>
                <w:szCs w:val="21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5A040A38">
            <w:pPr>
              <w:rPr>
                <w:sz w:val="21"/>
                <w:szCs w:val="21"/>
              </w:rPr>
            </w:pPr>
          </w:p>
        </w:tc>
      </w:tr>
      <w:tr w14:paraId="68E1A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shd w:val="clear" w:color="auto" w:fill="E6E6E6"/>
            <w:vAlign w:val="center"/>
          </w:tcPr>
          <w:p w14:paraId="41AC86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00774D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65.7</w:t>
            </w:r>
          </w:p>
        </w:tc>
        <w:tc>
          <w:tcPr>
            <w:vAlign w:val="center"/>
          </w:tcPr>
          <w:p w14:paraId="47BB1A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754.8</w:t>
            </w:r>
          </w:p>
        </w:tc>
        <w:tc>
          <w:tcPr>
            <w:vAlign w:val="center"/>
          </w:tcPr>
          <w:p w14:paraId="039BD6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1210.7</w:t>
            </w:r>
          </w:p>
        </w:tc>
        <w:tc>
          <w:tcPr>
            <w:vAlign w:val="center"/>
          </w:tcPr>
          <w:p w14:paraId="75325E3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17.6</w:t>
            </w:r>
          </w:p>
        </w:tc>
        <w:tc>
          <w:tcPr>
            <w:vAlign w:val="center"/>
          </w:tcPr>
          <w:p w14:paraId="409415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2031.1</w:t>
            </w:r>
          </w:p>
        </w:tc>
        <w:tc>
          <w:tcPr>
            <w:vAlign w:val="center"/>
          </w:tcPr>
          <w:p w14:paraId="676F5F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20418.4</w:t>
            </w:r>
          </w:p>
        </w:tc>
        <w:tc>
          <w:tcPr>
            <w:vAlign w:val="center"/>
          </w:tcPr>
          <w:p w14:paraId="37F2C21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9.9</w:t>
            </w:r>
          </w:p>
        </w:tc>
      </w:tr>
      <w:tr w14:paraId="07032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EF9F8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游憩场</w:t>
            </w:r>
          </w:p>
        </w:tc>
        <w:tc>
          <w:tcPr>
            <w:vAlign w:val="center"/>
          </w:tcPr>
          <w:p w14:paraId="00755E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4447D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D013EC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</w:t>
            </w:r>
          </w:p>
        </w:tc>
        <w:tc>
          <w:tcPr>
            <w:vAlign w:val="center"/>
          </w:tcPr>
          <w:p w14:paraId="5857A34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16CA5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</w:t>
            </w:r>
          </w:p>
        </w:tc>
        <w:tc>
          <w:tcPr>
            <w:vAlign w:val="center"/>
          </w:tcPr>
          <w:p w14:paraId="15D64A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</w:t>
            </w:r>
          </w:p>
        </w:tc>
        <w:tc>
          <w:tcPr>
            <w:vAlign w:val="center"/>
          </w:tcPr>
          <w:p w14:paraId="449C642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16.1</w:t>
            </w:r>
          </w:p>
        </w:tc>
      </w:tr>
      <w:tr w14:paraId="209BB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67283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7184102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425.5</w:t>
            </w:r>
          </w:p>
        </w:tc>
        <w:tc>
          <w:tcPr>
            <w:vAlign w:val="center"/>
          </w:tcPr>
          <w:p w14:paraId="080A5BA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838.4</w:t>
            </w:r>
          </w:p>
        </w:tc>
        <w:tc>
          <w:tcPr>
            <w:vAlign w:val="center"/>
          </w:tcPr>
          <w:p w14:paraId="1565959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D709B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6.7</w:t>
            </w:r>
          </w:p>
        </w:tc>
        <w:tc>
          <w:tcPr>
            <w:vAlign w:val="center"/>
          </w:tcPr>
          <w:p w14:paraId="2A02D18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1072.9</w:t>
            </w:r>
          </w:p>
        </w:tc>
        <w:tc>
          <w:tcPr>
            <w:vAlign w:val="center"/>
          </w:tcPr>
          <w:p w14:paraId="08C30C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1664.2</w:t>
            </w:r>
          </w:p>
        </w:tc>
        <w:tc>
          <w:tcPr>
            <w:vAlign w:val="center"/>
          </w:tcPr>
          <w:p w14:paraId="2786E87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64.5</w:t>
            </w:r>
          </w:p>
        </w:tc>
      </w:tr>
      <w:tr w14:paraId="710BA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D5937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0732C3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491.2</w:t>
            </w:r>
          </w:p>
        </w:tc>
        <w:tc>
          <w:tcPr>
            <w:vAlign w:val="center"/>
          </w:tcPr>
          <w:p w14:paraId="711062E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1593.2</w:t>
            </w:r>
          </w:p>
        </w:tc>
        <w:tc>
          <w:tcPr>
            <w:vAlign w:val="center"/>
          </w:tcPr>
          <w:p w14:paraId="39B17F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1213.4</w:t>
            </w:r>
          </w:p>
        </w:tc>
        <w:tc>
          <w:tcPr>
            <w:vAlign w:val="center"/>
          </w:tcPr>
          <w:p w14:paraId="16D1EC1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24.3</w:t>
            </w:r>
          </w:p>
        </w:tc>
        <w:tc>
          <w:tcPr>
            <w:vAlign w:val="center"/>
          </w:tcPr>
          <w:p w14:paraId="2B47EDF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3106.7</w:t>
            </w:r>
          </w:p>
        </w:tc>
        <w:tc>
          <w:tcPr>
            <w:vAlign w:val="center"/>
          </w:tcPr>
          <w:p w14:paraId="51AE12D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22099.7</w:t>
            </w:r>
          </w:p>
        </w:tc>
        <w:tc>
          <w:tcPr>
            <w:vAlign w:val="center"/>
          </w:tcPr>
          <w:p w14:paraId="189E87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14.1</w:t>
            </w:r>
          </w:p>
        </w:tc>
      </w:tr>
    </w:tbl>
    <w:p w14:paraId="18DFF572">
      <w:pPr>
        <w:pStyle w:val="3"/>
        <w:ind w:firstLine="420"/>
        <w:rPr>
          <w:lang w:val="en-US"/>
        </w:rPr>
      </w:pPr>
      <w:bookmarkStart w:id="33" w:name="计算结果"/>
      <w:bookmarkEnd w:id="33"/>
    </w:p>
    <w:p w14:paraId="67D68A08">
      <w:pPr>
        <w:pStyle w:val="3"/>
        <w:ind w:firstLine="420"/>
        <w:jc w:val="center"/>
        <w:rPr>
          <w:lang w:val="en-US"/>
        </w:rPr>
      </w:pPr>
      <w:bookmarkStart w:id="34" w:name="阴影平面图"/>
      <w:bookmarkEnd w:id="34"/>
      <w:r>
        <w:drawing>
          <wp:inline distT="0" distB="0" distL="0" distR="0">
            <wp:extent cx="5667375" cy="37528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0F219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 w14:paraId="4ACECE35">
      <w:pPr>
        <w:pStyle w:val="4"/>
      </w:pPr>
      <w:bookmarkStart w:id="35" w:name="_Toc8020"/>
      <w:r>
        <w:rPr>
          <w:rFonts w:hint="eastAsia"/>
        </w:rPr>
        <w:t>车道热环境</w:t>
      </w:r>
      <w:r>
        <w:t>指标</w:t>
      </w:r>
      <w:bookmarkEnd w:id="35"/>
    </w:p>
    <w:p w14:paraId="5CC0A750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0.4或</w:t>
      </w:r>
      <w:r>
        <w:rPr>
          <w:lang w:val="en-US"/>
        </w:rPr>
        <w:t>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0B75A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shd w:val="clear" w:color="auto" w:fill="E6E6E6"/>
            <w:vAlign w:val="center"/>
          </w:tcPr>
          <w:p w14:paraId="00D6AC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活动场地</w:t>
            </w:r>
          </w:p>
        </w:tc>
        <w:tc>
          <w:tcPr>
            <w:shd w:val="clear" w:color="auto" w:fill="E6E6E6"/>
            <w:vAlign w:val="center"/>
          </w:tcPr>
          <w:p w14:paraId="097F73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建筑阴影外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车道长度(m)</w:t>
            </w:r>
          </w:p>
        </w:tc>
        <w:tc>
          <w:tcPr>
            <w:shd w:val="clear" w:color="auto" w:fill="E6E6E6"/>
            <w:vAlign w:val="center"/>
          </w:tcPr>
          <w:p w14:paraId="3BCA0E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太阳辐射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反射系数</w:t>
            </w:r>
          </w:p>
        </w:tc>
        <w:tc>
          <w:tcPr>
            <w:shd w:val="clear" w:color="auto" w:fill="E6E6E6"/>
            <w:vAlign w:val="center"/>
          </w:tcPr>
          <w:p w14:paraId="2D1729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建筑阴影外设有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遮阴行道树的车道长度(m)</w:t>
            </w:r>
          </w:p>
        </w:tc>
        <w:tc>
          <w:tcPr>
            <w:shd w:val="clear" w:color="auto" w:fill="E6E6E6"/>
            <w:vAlign w:val="center"/>
          </w:tcPr>
          <w:p w14:paraId="3D3051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建筑阴影外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车道达标长度(m)</w:t>
            </w:r>
          </w:p>
        </w:tc>
      </w:tr>
      <w:tr w14:paraId="07B3E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331C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内部车道1</w:t>
            </w:r>
          </w:p>
        </w:tc>
        <w:tc>
          <w:tcPr>
            <w:vAlign w:val="center"/>
          </w:tcPr>
          <w:p w14:paraId="7A728C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11DBFC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0B8165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BD0DF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2909C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2F04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内部车道10</w:t>
            </w:r>
          </w:p>
        </w:tc>
        <w:tc>
          <w:tcPr>
            <w:vAlign w:val="center"/>
          </w:tcPr>
          <w:p w14:paraId="5F79AAE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E860C3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4CC647E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0D175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5B39C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63F73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内部车道11</w:t>
            </w:r>
          </w:p>
        </w:tc>
        <w:tc>
          <w:tcPr>
            <w:vAlign w:val="center"/>
          </w:tcPr>
          <w:p w14:paraId="1D6605C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2783FA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71AE00E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CC9744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42390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vAlign w:val="center"/>
          </w:tcPr>
          <w:p w14:paraId="438AD4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内部车道12</w:t>
            </w:r>
          </w:p>
        </w:tc>
        <w:tc>
          <w:tcPr>
            <w:vAlign w:val="center"/>
          </w:tcPr>
          <w:p w14:paraId="25C647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959E1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2935A1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16AB15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33435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501E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内部车道13</w:t>
            </w:r>
          </w:p>
        </w:tc>
        <w:tc>
          <w:tcPr>
            <w:vAlign w:val="center"/>
          </w:tcPr>
          <w:p w14:paraId="6333D2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E8A8B9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427CEB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321360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61F42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1227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内部车道14</w:t>
            </w:r>
          </w:p>
        </w:tc>
        <w:tc>
          <w:tcPr>
            <w:vAlign w:val="center"/>
          </w:tcPr>
          <w:p w14:paraId="5EA117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5D4EC2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115D26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2EAD0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01913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52224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内部车道15</w:t>
            </w:r>
          </w:p>
        </w:tc>
        <w:tc>
          <w:tcPr>
            <w:vAlign w:val="center"/>
          </w:tcPr>
          <w:p w14:paraId="4560A1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C529B0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2F7B16A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578BB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59CB0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A277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内部车道17</w:t>
            </w:r>
          </w:p>
        </w:tc>
        <w:tc>
          <w:tcPr>
            <w:vAlign w:val="center"/>
          </w:tcPr>
          <w:p w14:paraId="788556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579D4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78BBDA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54A6D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0876D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121A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内部车道18</w:t>
            </w:r>
          </w:p>
        </w:tc>
        <w:tc>
          <w:tcPr>
            <w:vAlign w:val="center"/>
          </w:tcPr>
          <w:p w14:paraId="68D9EB2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A8D519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134923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9AD0F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2A6C0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F421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内部车道21</w:t>
            </w:r>
          </w:p>
        </w:tc>
        <w:tc>
          <w:tcPr>
            <w:vAlign w:val="center"/>
          </w:tcPr>
          <w:p w14:paraId="775E4D0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23FCA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151C00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5B783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2D82E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8239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内部车道23</w:t>
            </w:r>
          </w:p>
        </w:tc>
        <w:tc>
          <w:tcPr>
            <w:vAlign w:val="center"/>
          </w:tcPr>
          <w:p w14:paraId="56A0888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99F85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5653E7D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FF418B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7B341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A022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内部车道26</w:t>
            </w:r>
          </w:p>
        </w:tc>
        <w:tc>
          <w:tcPr>
            <w:vAlign w:val="center"/>
          </w:tcPr>
          <w:p w14:paraId="280E02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0F5A3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225E3AF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10C16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5FAAB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1E21E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内部车道6</w:t>
            </w:r>
          </w:p>
        </w:tc>
        <w:tc>
          <w:tcPr>
            <w:vAlign w:val="center"/>
          </w:tcPr>
          <w:p w14:paraId="5A681FA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7C356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7A9714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A3F8B0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2FC16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0DEC0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内部车道7</w:t>
            </w:r>
          </w:p>
        </w:tc>
        <w:tc>
          <w:tcPr>
            <w:vAlign w:val="center"/>
          </w:tcPr>
          <w:p w14:paraId="150DA4F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F30217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623A5F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39431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3ECAE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318FD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内部车道8</w:t>
            </w:r>
          </w:p>
        </w:tc>
        <w:tc>
          <w:tcPr>
            <w:vAlign w:val="center"/>
          </w:tcPr>
          <w:p w14:paraId="60E1D04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4DC7E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63738F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5E8A3B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2DAAF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82B0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7627553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4827B98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0E095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B409F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3F92D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2A81C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总达标比例(%)</w:t>
            </w:r>
          </w:p>
        </w:tc>
        <w:tc>
          <w:tcPr>
            <w:gridSpan w:val="4"/>
            <w:vAlign w:val="center"/>
          </w:tcPr>
          <w:p w14:paraId="4821A4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</w:tbl>
    <w:p w14:paraId="71BFDA1E">
      <w:pPr>
        <w:pStyle w:val="3"/>
        <w:ind w:firstLine="420"/>
        <w:rPr>
          <w:lang w:val="en-US"/>
        </w:rPr>
      </w:pPr>
      <w:bookmarkStart w:id="36" w:name="车道遮阴率"/>
      <w:bookmarkEnd w:id="36"/>
    </w:p>
    <w:p w14:paraId="7B47FDEC">
      <w:pPr>
        <w:pStyle w:val="3"/>
        <w:ind w:firstLine="420"/>
        <w:jc w:val="center"/>
        <w:rPr>
          <w:lang w:val="en-US"/>
        </w:rPr>
      </w:pPr>
      <w:bookmarkStart w:id="37" w:name="车道遮阴率平面图"/>
      <w:bookmarkEnd w:id="37"/>
      <w:r>
        <w:drawing>
          <wp:inline distT="0" distB="0" distL="0" distR="0">
            <wp:extent cx="5667375" cy="37623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59AFC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 w14:paraId="07333D03">
      <w:pPr>
        <w:pStyle w:val="4"/>
      </w:pPr>
      <w:bookmarkStart w:id="38" w:name="_Toc9427"/>
      <w:r>
        <w:rPr>
          <w:rFonts w:hint="eastAsia"/>
        </w:rPr>
        <w:t>屋顶热环境</w:t>
      </w:r>
      <w:r>
        <w:t>指标</w:t>
      </w:r>
      <w:bookmarkEnd w:id="38"/>
    </w:p>
    <w:p w14:paraId="12B3A5D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5"/>
        <w:gridCol w:w="1555"/>
      </w:tblGrid>
      <w:tr w14:paraId="6F15F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7E71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</w:t>
            </w:r>
          </w:p>
        </w:tc>
        <w:tc>
          <w:tcPr>
            <w:shd w:val="clear" w:color="auto" w:fill="E6E6E6"/>
            <w:vAlign w:val="center"/>
          </w:tcPr>
          <w:p w14:paraId="50FBBF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1864E6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46498F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太阳能板投影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面积(m2)</w:t>
            </w:r>
          </w:p>
        </w:tc>
        <w:tc>
          <w:tcPr>
            <w:shd w:val="clear" w:color="auto" w:fill="E6E6E6"/>
            <w:vAlign w:val="center"/>
          </w:tcPr>
          <w:p w14:paraId="400E74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太阳辐射反射系数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不小于0.4屋面面积(m2)</w:t>
            </w:r>
          </w:p>
        </w:tc>
        <w:tc>
          <w:tcPr>
            <w:shd w:val="clear" w:color="auto" w:fill="E6E6E6"/>
            <w:vAlign w:val="center"/>
          </w:tcPr>
          <w:p w14:paraId="2FC394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屋顶绿化、太阳能板投影及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反射达标面积占屋面比例(%)</w:t>
            </w:r>
          </w:p>
        </w:tc>
      </w:tr>
      <w:tr w14:paraId="21753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4BD06D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BD7B0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5103.3</w:t>
            </w:r>
          </w:p>
        </w:tc>
        <w:tc>
          <w:tcPr>
            <w:vAlign w:val="center"/>
          </w:tcPr>
          <w:p w14:paraId="1DCF152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22902.7</w:t>
            </w:r>
          </w:p>
        </w:tc>
        <w:tc>
          <w:tcPr>
            <w:vAlign w:val="center"/>
          </w:tcPr>
          <w:p w14:paraId="5BA7C61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276E4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2610D6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 w14:paraId="6EA35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74047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0568EC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2638.1</w:t>
            </w:r>
          </w:p>
        </w:tc>
        <w:tc>
          <w:tcPr>
            <w:vAlign w:val="center"/>
          </w:tcPr>
          <w:p w14:paraId="5C6011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22902.7</w:t>
            </w:r>
          </w:p>
        </w:tc>
        <w:tc>
          <w:tcPr>
            <w:vAlign w:val="center"/>
          </w:tcPr>
          <w:p w14:paraId="16A9DA8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6DFDEF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19250B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 w14:paraId="23185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5D50C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191BFA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1515.6</w:t>
            </w:r>
          </w:p>
        </w:tc>
        <w:tc>
          <w:tcPr>
            <w:vAlign w:val="center"/>
          </w:tcPr>
          <w:p w14:paraId="3C10AB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22902.7</w:t>
            </w:r>
          </w:p>
        </w:tc>
        <w:tc>
          <w:tcPr>
            <w:vAlign w:val="center"/>
          </w:tcPr>
          <w:p w14:paraId="4655D5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19BED0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EA64BA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 w14:paraId="1CAA5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418A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51227B7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4213.8</w:t>
            </w:r>
          </w:p>
        </w:tc>
        <w:tc>
          <w:tcPr>
            <w:vAlign w:val="center"/>
          </w:tcPr>
          <w:p w14:paraId="55CE020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22902.7</w:t>
            </w:r>
          </w:p>
        </w:tc>
        <w:tc>
          <w:tcPr>
            <w:vAlign w:val="center"/>
          </w:tcPr>
          <w:p w14:paraId="74C7F5A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072C6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E1AA50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 w14:paraId="6EC6D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6B1B5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 w14:paraId="7C227F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1624.8</w:t>
            </w:r>
          </w:p>
        </w:tc>
        <w:tc>
          <w:tcPr>
            <w:vAlign w:val="center"/>
          </w:tcPr>
          <w:p w14:paraId="0C8E0EF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22902.7</w:t>
            </w:r>
          </w:p>
        </w:tc>
        <w:tc>
          <w:tcPr>
            <w:vAlign w:val="center"/>
          </w:tcPr>
          <w:p w14:paraId="18A384A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3E86D3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50ED2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 w14:paraId="01AE3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20C0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CF31F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6477.5</w:t>
            </w:r>
          </w:p>
        </w:tc>
        <w:tc>
          <w:tcPr>
            <w:vAlign w:val="center"/>
          </w:tcPr>
          <w:p w14:paraId="7A6D22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22902.7</w:t>
            </w:r>
          </w:p>
        </w:tc>
        <w:tc>
          <w:tcPr>
            <w:vAlign w:val="center"/>
          </w:tcPr>
          <w:p w14:paraId="26F682F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CA6A8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2F76B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 w14:paraId="60DA3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722DC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 w14:paraId="16B717F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11674.2</w:t>
            </w:r>
          </w:p>
        </w:tc>
        <w:tc>
          <w:tcPr>
            <w:vAlign w:val="center"/>
          </w:tcPr>
          <w:p w14:paraId="05F980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22902.7</w:t>
            </w:r>
          </w:p>
        </w:tc>
        <w:tc>
          <w:tcPr>
            <w:vAlign w:val="center"/>
          </w:tcPr>
          <w:p w14:paraId="7120DA8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B5973A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B11A9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 w14:paraId="721CB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1AEEC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100AC5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33247.3</w:t>
            </w:r>
          </w:p>
        </w:tc>
        <w:tc>
          <w:tcPr>
            <w:vAlign w:val="center"/>
          </w:tcPr>
          <w:p w14:paraId="2DE632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160318.6</w:t>
            </w:r>
          </w:p>
        </w:tc>
        <w:tc>
          <w:tcPr>
            <w:vAlign w:val="center"/>
          </w:tcPr>
          <w:p w14:paraId="3BC228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BE15E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D843C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</w:tbl>
    <w:p w14:paraId="3393D093">
      <w:pPr>
        <w:pStyle w:val="3"/>
        <w:ind w:firstLine="420"/>
        <w:rPr>
          <w:lang w:val="en-US"/>
        </w:rPr>
      </w:pPr>
      <w:bookmarkStart w:id="39" w:name="屋顶遮阴率"/>
      <w:bookmarkEnd w:id="39"/>
    </w:p>
    <w:p w14:paraId="66A17794">
      <w:pPr>
        <w:pStyle w:val="2"/>
      </w:pPr>
      <w:bookmarkStart w:id="40" w:name="_Toc5797"/>
      <w:r>
        <w:rPr>
          <w:rFonts w:hint="eastAsia"/>
        </w:rPr>
        <w:t>评价结论</w:t>
      </w:r>
      <w:bookmarkEnd w:id="40"/>
    </w:p>
    <w:p w14:paraId="7D3A79A6"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50378-201</w:t>
      </w:r>
      <w:r>
        <w:rPr>
          <w:rFonts w:ascii="宋体" w:hAnsi="宋体"/>
          <w:kern w:val="2"/>
          <w:szCs w:val="21"/>
          <w:lang w:val="en-US"/>
        </w:rPr>
        <w:t>9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951"/>
        <w:gridCol w:w="2621"/>
        <w:gridCol w:w="581"/>
      </w:tblGrid>
      <w:tr w14:paraId="04886A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bottom w:val="single" w:color="000000" w:sz="8" w:space="0"/>
            </w:tcBorders>
            <w:shd w:val="clear" w:color="auto" w:fill="E6E6E6"/>
            <w:vAlign w:val="center"/>
          </w:tcPr>
          <w:p w14:paraId="513C5902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6DCEBC50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color="000000" w:sz="12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7BF2B18F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1A9CACB3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14:paraId="394D81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45AAE582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25372241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7AA55C59"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1" w:name="活动场地遮阴率规定得分值1"/>
            <w:r>
              <w:rPr>
                <w:rFonts w:hint="eastAsia" w:ascii="宋体" w:cs="宋体"/>
                <w:sz w:val="18"/>
                <w:szCs w:val="18"/>
              </w:rPr>
              <w:t>2</w:t>
            </w:r>
            <w:bookmarkEnd w:id="41"/>
            <w:r>
              <w:rPr>
                <w:rFonts w:hint="eastAsia" w:ascii="宋体" w:cs="宋体"/>
                <w:sz w:val="18"/>
                <w:szCs w:val="18"/>
              </w:rPr>
              <w:t>分；住宅建筑达到50％，公共建筑达到 20％，得</w:t>
            </w:r>
            <w:bookmarkStart w:id="42" w:name="活动场地遮阴率规定得分值2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2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0D5C68E8">
            <w:bookmarkStart w:id="43" w:name="活动场地遮阴率值"/>
            <w:r>
              <w:t>14.1%</w:t>
            </w:r>
            <w:bookmarkEnd w:id="43"/>
          </w:p>
        </w:tc>
        <w:tc>
          <w:tcPr>
            <w:tcW w:w="303" w:type="pct"/>
            <w:tcBorders>
              <w:bottom w:val="single" w:color="000000" w:sz="8" w:space="0"/>
            </w:tcBorders>
            <w:vAlign w:val="center"/>
          </w:tcPr>
          <w:p w14:paraId="1EF40D53">
            <w:bookmarkStart w:id="44" w:name="活动场地遮阴率得分"/>
            <w:r>
              <w:t>2</w:t>
            </w:r>
            <w:bookmarkEnd w:id="44"/>
          </w:p>
        </w:tc>
      </w:tr>
      <w:tr w14:paraId="2A57DA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53BA0155"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6054DE42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场地中处于建筑阴影区外的机动车道，路面太阳辐射反射系数不小于0.4或设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</w:t>
            </w:r>
            <w:bookmarkStart w:id="45" w:name="车道遮阴规定得分值1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5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7DC569D9">
            <w:bookmarkStart w:id="46" w:name="车道遮阴率值"/>
            <w:r>
              <w:t>100.0%</w:t>
            </w:r>
            <w:bookmarkEnd w:id="46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719CF3E8">
            <w:bookmarkStart w:id="47" w:name="车道遮阴得分"/>
            <w:r>
              <w:t>3</w:t>
            </w:r>
            <w:bookmarkEnd w:id="47"/>
          </w:p>
        </w:tc>
      </w:tr>
      <w:tr w14:paraId="54EE80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58749343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20D79AE3"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8" w:name="屋顶遮阴规定得分值1"/>
            <w:r>
              <w:rPr>
                <w:rFonts w:hint="eastAsia" w:ascii="宋体" w:cs="宋体"/>
                <w:sz w:val="18"/>
                <w:szCs w:val="18"/>
              </w:rPr>
              <w:t>4</w:t>
            </w:r>
            <w:bookmarkEnd w:id="48"/>
            <w:r>
              <w:rPr>
                <w:rFonts w:hint="eastAsia" w:ascii="宋体" w:cs="宋体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503DEC1E">
            <w:bookmarkStart w:id="49" w:name="屋顶遮阴率值"/>
            <w:r>
              <w:t>100.0%</w:t>
            </w:r>
            <w:bookmarkEnd w:id="49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36E09D3B">
            <w:bookmarkStart w:id="50" w:name="屋顶遮阴得分"/>
            <w:r>
              <w:t>4</w:t>
            </w:r>
            <w:bookmarkEnd w:id="50"/>
          </w:p>
        </w:tc>
      </w:tr>
      <w:tr w14:paraId="411F76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tcBorders>
              <w:top w:val="single" w:color="000000" w:sz="8" w:space="0"/>
              <w:bottom w:val="single" w:color="000000" w:sz="12" w:space="0"/>
            </w:tcBorders>
            <w:shd w:val="clear" w:color="auto" w:fill="E7E6E6" w:themeFill="background2"/>
          </w:tcPr>
          <w:p w14:paraId="71D4521F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50D7B432">
            <w:bookmarkStart w:id="51" w:name="降热措施总得分"/>
            <w:r>
              <w:t>9</w:t>
            </w:r>
            <w:bookmarkEnd w:id="51"/>
          </w:p>
        </w:tc>
      </w:tr>
    </w:tbl>
    <w:p w14:paraId="41398E1E">
      <w:pPr>
        <w:pStyle w:val="3"/>
        <w:ind w:firstLine="0" w:firstLineChars="0"/>
        <w:rPr>
          <w:lang w:val="en-US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EFDF0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750DCCCD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48FF2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0CD13DF8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B7DB0">
    <w:pPr>
      <w:pStyle w:val="15"/>
      <w:jc w:val="left"/>
    </w:pPr>
    <w: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FA5968"/>
    <w:rsid w:val="0000545C"/>
    <w:rsid w:val="000104FD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521A9"/>
    <w:rsid w:val="00960B5D"/>
    <w:rsid w:val="00961512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21B8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32FA596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眉 Char"/>
    <w:basedOn w:val="20"/>
    <w:link w:val="15"/>
    <w:uiPriority w:val="0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2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tmp29.dotx</Template>
  <Pages>9</Pages>
  <Words>2094</Words>
  <Characters>2849</Characters>
  <Lines>19</Lines>
  <Paragraphs>5</Paragraphs>
  <TotalTime>0</TotalTime>
  <ScaleCrop>false</ScaleCrop>
  <LinksUpToDate>false</LinksUpToDate>
  <CharactersWithSpaces>3682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2024-12-19T12:30:00Z</dcterms:created>
  <dc:creator>8237476979</dc:creator>
  <cp:lastModifiedBy>8237476979</cp:lastModifiedBy>
  <dcterms:modified xsi:type="dcterms:W3CDTF">2024-12-19T12:31:47Z</dcterms:modified>
  <dc:title>降低热岛强度措施计算书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0B02C4EAEA454197B9F867D512BDF495_11</vt:lpwstr>
  </property>
</Properties>
</file>